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2542" w14:textId="77777777" w:rsidR="00BA323C" w:rsidRPr="00BA323C" w:rsidRDefault="00BA323C" w:rsidP="00BA323C">
      <w:r w:rsidRPr="00BA323C">
        <w:t>Course Syllabus</w:t>
      </w:r>
    </w:p>
    <w:p w14:paraId="47E23BA1" w14:textId="77777777" w:rsidR="00BA323C" w:rsidRPr="00BA323C" w:rsidRDefault="00BA323C" w:rsidP="00BA323C">
      <w:r w:rsidRPr="00BA323C">
        <w:rPr>
          <w:b/>
          <w:bCs/>
          <w:u w:val="single"/>
        </w:rPr>
        <w:t>ENERGY/ENVIRON 588:</w:t>
      </w:r>
      <w:r w:rsidRPr="00BA323C">
        <w:rPr>
          <w:b/>
          <w:bCs/>
          <w:u w:val="single"/>
        </w:rPr>
        <w:br/>
      </w:r>
      <w:r w:rsidRPr="00BA323C">
        <w:rPr>
          <w:b/>
          <w:bCs/>
        </w:rPr>
        <w:t>Introduction to Solar PV Project Development</w:t>
      </w:r>
    </w:p>
    <w:p w14:paraId="4D16637C" w14:textId="77777777" w:rsidR="00BA323C" w:rsidRPr="00BA323C" w:rsidRDefault="00BA323C" w:rsidP="00BA323C">
      <w:r w:rsidRPr="00BA323C">
        <w:pict w14:anchorId="19D62FE3">
          <v:rect id="_x0000_i1553" style="width:468pt;height:1pt" o:hralign="center" o:hrstd="t" o:hr="t" fillcolor="#a0a0a0" stroked="f"/>
        </w:pict>
      </w:r>
    </w:p>
    <w:p w14:paraId="6EF35746" w14:textId="77777777" w:rsidR="00BA323C" w:rsidRPr="00BA323C" w:rsidRDefault="00BA323C" w:rsidP="00BA323C">
      <w:r w:rsidRPr="00BA323C">
        <w:rPr>
          <w:b/>
          <w:bCs/>
        </w:rPr>
        <w:t>Course Logistics</w:t>
      </w:r>
    </w:p>
    <w:p w14:paraId="0868005C" w14:textId="77777777" w:rsidR="00BA323C" w:rsidRPr="00BA323C" w:rsidRDefault="00BA323C" w:rsidP="00BA323C">
      <w:r w:rsidRPr="00BA323C">
        <w:rPr>
          <w:b/>
          <w:bCs/>
        </w:rPr>
        <w:t>Class Time:</w:t>
      </w:r>
      <w:r w:rsidRPr="00BA323C">
        <w:t>                            Thursdays, 3:20 PM –5:50 PM</w:t>
      </w:r>
      <w:r w:rsidRPr="00BA323C">
        <w:br/>
      </w:r>
      <w:r w:rsidRPr="00BA323C">
        <w:rPr>
          <w:b/>
          <w:bCs/>
        </w:rPr>
        <w:br/>
        <w:t>Location:</w:t>
      </w:r>
      <w:r w:rsidRPr="00BA323C">
        <w:t>                               Gross Hall, Room 270</w:t>
      </w:r>
      <w:r w:rsidRPr="00BA323C">
        <w:br/>
        <w:t>                                               In-person attendance is expected; recordings available with advance request</w:t>
      </w:r>
      <w:r w:rsidRPr="00BA323C">
        <w:rPr>
          <w:u w:val="single"/>
        </w:rPr>
        <w:br/>
      </w:r>
      <w:r w:rsidRPr="00BA323C">
        <w:rPr>
          <w:u w:val="single"/>
        </w:rPr>
        <w:br/>
      </w:r>
      <w:r w:rsidRPr="00BA323C">
        <w:rPr>
          <w:b/>
          <w:bCs/>
        </w:rPr>
        <w:t>Instructors:</w:t>
      </w:r>
      <w:r w:rsidRPr="00BA323C">
        <w:t>                            Lead:   Adam Medoff (</w:t>
      </w:r>
      <w:hyperlink r:id="rId5" w:tooltip="mailto:adam.medoff@duke.edu" w:history="1">
        <w:r w:rsidRPr="00BA323C">
          <w:rPr>
            <w:rStyle w:val="Hyperlink"/>
          </w:rPr>
          <w:t>adam.medoff@duke.edu</w:t>
        </w:r>
      </w:hyperlink>
      <w:r w:rsidRPr="00BA323C">
        <w:t>)</w:t>
      </w:r>
      <w:r w:rsidRPr="00BA323C">
        <w:br/>
        <w:t>                                                With:  Scott Starr (</w:t>
      </w:r>
      <w:hyperlink r:id="rId6" w:tooltip="mailto:scott.starr@duke.edu" w:history="1">
        <w:r w:rsidRPr="00BA323C">
          <w:rPr>
            <w:rStyle w:val="Hyperlink"/>
          </w:rPr>
          <w:t>scott.starr@duke.edu)</w:t>
        </w:r>
      </w:hyperlink>
      <w:r w:rsidRPr="00BA323C">
        <w:t> and Rory Huntly (</w:t>
      </w:r>
      <w:hyperlink r:id="rId7" w:tooltip="mailto:rory.huntly@duke.edu" w:history="1">
        <w:r w:rsidRPr="00BA323C">
          <w:rPr>
            <w:rStyle w:val="Hyperlink"/>
          </w:rPr>
          <w:t>rory.huntly@duke.edu</w:t>
        </w:r>
      </w:hyperlink>
      <w:r w:rsidRPr="00BA323C">
        <w:t>)   </w:t>
      </w:r>
      <w:r w:rsidRPr="00BA323C">
        <w:br/>
      </w:r>
      <w:r w:rsidRPr="00BA323C">
        <w:rPr>
          <w:u w:val="single"/>
        </w:rPr>
        <w:br/>
      </w:r>
      <w:r w:rsidRPr="00BA323C">
        <w:rPr>
          <w:i/>
          <w:iCs/>
        </w:rPr>
        <w:t>Office Hours:</w:t>
      </w:r>
      <w:r w:rsidRPr="00BA323C">
        <w:rPr>
          <w:b/>
          <w:bCs/>
        </w:rPr>
        <w:t>      </w:t>
      </w:r>
      <w:r w:rsidRPr="00BA323C">
        <w:t>                     Upon request (please email to schedule)</w:t>
      </w:r>
    </w:p>
    <w:p w14:paraId="18E27A81" w14:textId="77777777" w:rsidR="00BA323C" w:rsidRPr="00BA323C" w:rsidRDefault="00BA323C" w:rsidP="00BA323C">
      <w:r w:rsidRPr="00BA323C">
        <w:rPr>
          <w:b/>
          <w:bCs/>
        </w:rPr>
        <w:t>Teaching Assistant:</w:t>
      </w:r>
      <w:r w:rsidRPr="00BA323C">
        <w:t>               Joy Wu </w:t>
      </w:r>
      <w:r w:rsidRPr="00BA323C">
        <w:rPr>
          <w:u w:val="single"/>
        </w:rPr>
        <w:t>(</w:t>
      </w:r>
      <w:hyperlink r:id="rId8" w:tooltip="mailto:joy.wu@duke.edu" w:history="1">
        <w:r w:rsidRPr="00BA323C">
          <w:rPr>
            <w:rStyle w:val="Hyperlink"/>
          </w:rPr>
          <w:t>joy.wu@duke.edu</w:t>
        </w:r>
      </w:hyperlink>
      <w:r w:rsidRPr="00BA323C">
        <w:rPr>
          <w:u w:val="single"/>
        </w:rPr>
        <w:t>)</w:t>
      </w:r>
      <w:r w:rsidRPr="00BA323C">
        <w:br/>
      </w:r>
      <w:r w:rsidRPr="00BA323C">
        <w:rPr>
          <w:i/>
          <w:iCs/>
        </w:rPr>
        <w:t>Office Hours:   </w:t>
      </w:r>
      <w:r w:rsidRPr="00BA323C">
        <w:rPr>
          <w:b/>
          <w:bCs/>
        </w:rPr>
        <w:t>   </w:t>
      </w:r>
      <w:r w:rsidRPr="00BA323C">
        <w:t>                     Upon request (please email)</w:t>
      </w:r>
    </w:p>
    <w:p w14:paraId="4382595D" w14:textId="77777777" w:rsidR="00BA323C" w:rsidRPr="00BA323C" w:rsidRDefault="00BA323C" w:rsidP="00BA323C">
      <w:r w:rsidRPr="00BA323C">
        <w:rPr>
          <w:b/>
          <w:bCs/>
          <w:i/>
          <w:iCs/>
        </w:rPr>
        <w:t>Note</w:t>
      </w:r>
      <w:proofErr w:type="gramStart"/>
      <w:r w:rsidRPr="00BA323C">
        <w:rPr>
          <w:b/>
          <w:bCs/>
          <w:i/>
          <w:iCs/>
        </w:rPr>
        <w:t>: </w:t>
      </w:r>
      <w:r w:rsidRPr="00BA323C">
        <w:rPr>
          <w:i/>
          <w:iCs/>
        </w:rPr>
        <w:t> This</w:t>
      </w:r>
      <w:proofErr w:type="gramEnd"/>
      <w:r w:rsidRPr="00BA323C">
        <w:rPr>
          <w:i/>
          <w:iCs/>
        </w:rPr>
        <w:t xml:space="preserve"> syllabus is a work-in-process guide and subject to change at instructors’ or assistant’s discretion; readings and Speakers</w:t>
      </w:r>
      <w:proofErr w:type="gramStart"/>
      <w:r w:rsidRPr="00BA323C">
        <w:rPr>
          <w:i/>
          <w:iCs/>
        </w:rPr>
        <w:t>, in particular, may</w:t>
      </w:r>
      <w:proofErr w:type="gramEnd"/>
      <w:r w:rsidRPr="00BA323C">
        <w:rPr>
          <w:i/>
          <w:iCs/>
        </w:rPr>
        <w:t xml:space="preserve"> be added and amended regularly. Please check regularly for updates.</w:t>
      </w:r>
    </w:p>
    <w:p w14:paraId="7AAB2EF5" w14:textId="77777777" w:rsidR="00BA323C" w:rsidRPr="00BA323C" w:rsidRDefault="00BA323C" w:rsidP="00BA323C">
      <w:r w:rsidRPr="00BA323C">
        <w:pict w14:anchorId="48F7DE59">
          <v:rect id="_x0000_i1554" style="width:468pt;height:1pt" o:hralign="center" o:hrstd="t" o:hr="t" fillcolor="#a0a0a0" stroked="f"/>
        </w:pict>
      </w:r>
    </w:p>
    <w:p w14:paraId="1435559B" w14:textId="77777777" w:rsidR="00BA323C" w:rsidRPr="00BA323C" w:rsidRDefault="00BA323C" w:rsidP="00BA323C">
      <w:r w:rsidRPr="00BA323C">
        <w:rPr>
          <w:b/>
          <w:bCs/>
        </w:rPr>
        <w:t>Course Overview</w:t>
      </w:r>
    </w:p>
    <w:p w14:paraId="5D21E4A9" w14:textId="77777777" w:rsidR="00BA323C" w:rsidRPr="00BA323C" w:rsidRDefault="00BA323C" w:rsidP="00BA323C">
      <w:r w:rsidRPr="00BA323C">
        <w:t xml:space="preserve">Over the past fifteen years, the U.S. electricity sector has undergone a profound transformation. While fossil-based fuels historically supplied </w:t>
      </w:r>
      <w:proofErr w:type="gramStart"/>
      <w:r w:rsidRPr="00BA323C">
        <w:t>the majority of</w:t>
      </w:r>
      <w:proofErr w:type="gramEnd"/>
      <w:r w:rsidRPr="00BA323C">
        <w:t xml:space="preserve"> American electricity, sustained declines in solar equipment costs, evolving federal and state policies, corporate decarbonization commitments, and shifting investor expectations have accelerated the deployment </w:t>
      </w:r>
      <w:r w:rsidRPr="00BA323C">
        <w:lastRenderedPageBreak/>
        <w:t>of utility-scale and distributed solar across the country. The Inflation Reduction Act (IRA) of 2022 extended long-term federal tax incentives and introduced new adders tied to domestic content, energy communities, and low-income areas, fundamentally reshaping the economics of clean energy projects. At the same time, supply chain dynamics, transmission constraints, interconnection backlogs, and rising financing costs have introduced new challenges that developers and asset owners must navigate.</w:t>
      </w:r>
    </w:p>
    <w:p w14:paraId="784E20ED" w14:textId="77777777" w:rsidR="00BA323C" w:rsidRPr="00BA323C" w:rsidRDefault="00BA323C" w:rsidP="00BA323C">
      <w:r w:rsidRPr="00BA323C">
        <w:t>Today, solar energy development in the U.S. sits at the intersection of public policy, engineering, real estate, project finance, and regulatory compliance. Successful projects require years of coordinated effort across disciplines and careful management of risk from early-stage site screening through commercial operation. Developers must secure land, evaluate environmental and community impacts, obtain land use approvals, navigate increasingly complex interconnection processes, and structure power offtake arrangements to support project financing. Meanwhile, long-term asset owners—such as Independent Power Producers (IPPs), utilities, and infrastructure funds—must assess whether development-stage assets meet their portfolio, return, and timeline objectives.</w:t>
      </w:r>
    </w:p>
    <w:p w14:paraId="685215C3" w14:textId="77777777" w:rsidR="00BA323C" w:rsidRPr="00BA323C" w:rsidRDefault="00BA323C" w:rsidP="00BA323C">
      <w:r w:rsidRPr="00BA323C">
        <w:t>This course provides a practical introduction to the process of originating, de-risking, evaluating, and transacting non-residential solar energy projects in the U.S. Students will examine the major players involved in the value chain and the sequence of activities required to advance a project through development. The class will cover site screening, land control, permitting, the interconnection study process, environmental and cultural due diligence, engineering considerations, offtake structures, and project finance fundamentals. Students will learn how solar assets are valued, how developer and investor incentives differ, and how the commercial terms negotiated between parties ultimately determine whether a project is financeable.</w:t>
      </w:r>
    </w:p>
    <w:p w14:paraId="3019C8CF" w14:textId="77777777" w:rsidR="00BA323C" w:rsidRPr="00BA323C" w:rsidRDefault="00BA323C" w:rsidP="00BA323C">
      <w:r w:rsidRPr="00BA323C">
        <w:t xml:space="preserve">A central feature of this course is a semester-long simulation in which students form their own solar development companies and progress an assigned project from early-stage concept to a proposed sale. Each team will evaluate the technical, regulatory, and economic attributes of its project and prepare internal development memos </w:t>
      </w:r>
      <w:proofErr w:type="gramStart"/>
      <w:r w:rsidRPr="00BA323C">
        <w:t>similar to</w:t>
      </w:r>
      <w:proofErr w:type="gramEnd"/>
      <w:r w:rsidRPr="00BA323C">
        <w:t xml:space="preserve"> those used in industry. Teams will also receive a “Buyer Mandate” representing the criteria of a hypothetical asset </w:t>
      </w:r>
      <w:proofErr w:type="gramStart"/>
      <w:r w:rsidRPr="00BA323C">
        <w:t>owner, and</w:t>
      </w:r>
      <w:proofErr w:type="gramEnd"/>
      <w:r w:rsidRPr="00BA323C">
        <w:t xml:space="preserve"> will participate in a structured Marketplace Week in which they evaluate projects developed by classmates, conduct due diligence, submit acquisition bids, and ultimately select one project to acquire.</w:t>
      </w:r>
    </w:p>
    <w:p w14:paraId="68398769" w14:textId="77777777" w:rsidR="00BA323C" w:rsidRPr="00BA323C" w:rsidRDefault="00BA323C" w:rsidP="00BA323C">
      <w:r w:rsidRPr="00BA323C">
        <w:lastRenderedPageBreak/>
        <w:t>By examining real-world constraints, interacting with industry practitioners, and engaging in both development and asset acquisition activities, students will gain a hands-on and holistic understanding of how renewable energy projects move from concept to construction and long-term ownership.</w:t>
      </w:r>
    </w:p>
    <w:p w14:paraId="020CBBAA" w14:textId="77777777" w:rsidR="00BA323C" w:rsidRPr="00BA323C" w:rsidRDefault="00BA323C" w:rsidP="00BA323C">
      <w:r w:rsidRPr="00BA323C">
        <w:pict w14:anchorId="6819CFBA">
          <v:rect id="_x0000_i1555" style="width:468pt;height:1pt" o:hralign="center" o:hrstd="t" o:hr="t" fillcolor="#a0a0a0" stroked="f"/>
        </w:pict>
      </w:r>
    </w:p>
    <w:p w14:paraId="3D88072E" w14:textId="77777777" w:rsidR="00BA323C" w:rsidRPr="00BA323C" w:rsidRDefault="00BA323C" w:rsidP="00BA323C">
      <w:r w:rsidRPr="00BA323C">
        <w:rPr>
          <w:b/>
          <w:bCs/>
        </w:rPr>
        <w:t>Learning Objectives</w:t>
      </w:r>
    </w:p>
    <w:p w14:paraId="26883FD0" w14:textId="77777777" w:rsidR="00BA323C" w:rsidRPr="00BA323C" w:rsidRDefault="00BA323C" w:rsidP="00BA323C">
      <w:r w:rsidRPr="00BA323C">
        <w:t>This course will provide a foundation of knowledge and a set of tools useful for students interested in solar development, corporate sustainability or the energy industry at large. At the end of the class, students will be able to:</w:t>
      </w:r>
    </w:p>
    <w:p w14:paraId="5404DFB5" w14:textId="77777777" w:rsidR="00BA323C" w:rsidRPr="00BA323C" w:rsidRDefault="00BA323C" w:rsidP="00BA323C">
      <w:pPr>
        <w:numPr>
          <w:ilvl w:val="0"/>
          <w:numId w:val="16"/>
        </w:numPr>
      </w:pPr>
      <w:r w:rsidRPr="00BA323C">
        <w:t>Understand how federal, state, and local policies—including the Inflation Reduction Act and state renewable portfolio standards—shape the economics and feasibility of non-residential solar projects</w:t>
      </w:r>
    </w:p>
    <w:p w14:paraId="5A071817" w14:textId="77777777" w:rsidR="00BA323C" w:rsidRPr="00BA323C" w:rsidRDefault="00BA323C" w:rsidP="00BA323C">
      <w:pPr>
        <w:numPr>
          <w:ilvl w:val="0"/>
          <w:numId w:val="16"/>
        </w:numPr>
      </w:pPr>
      <w:r w:rsidRPr="00BA323C">
        <w:t>Define major non-residential solar market segments (utility-scale, C&amp;I, community solar) and explain the roles and incentives of key stakeholders, including Developers, EPC providers, Lenders, Tax Equity Investors, and long-term Owners/IPPs.</w:t>
      </w:r>
    </w:p>
    <w:p w14:paraId="5D34156D" w14:textId="77777777" w:rsidR="00BA323C" w:rsidRPr="00BA323C" w:rsidRDefault="00BA323C" w:rsidP="00BA323C">
      <w:pPr>
        <w:numPr>
          <w:ilvl w:val="0"/>
          <w:numId w:val="16"/>
        </w:numPr>
      </w:pPr>
      <w:r w:rsidRPr="00BA323C">
        <w:t>Apply the tools and analytical frameworks used in early-stage siting, including land evaluation, environmental and cultural screening, title review, and infrastructure constraints.</w:t>
      </w:r>
    </w:p>
    <w:p w14:paraId="3226E618" w14:textId="77777777" w:rsidR="00BA323C" w:rsidRPr="00BA323C" w:rsidRDefault="00BA323C" w:rsidP="00BA323C">
      <w:pPr>
        <w:numPr>
          <w:ilvl w:val="0"/>
          <w:numId w:val="16"/>
        </w:numPr>
      </w:pPr>
      <w:r w:rsidRPr="00BA323C">
        <w:t>Describe the major steps in the interconnection process and analyze how grid conditions, study timelines, and upgrade costs influence project viability.</w:t>
      </w:r>
    </w:p>
    <w:p w14:paraId="1955E4FD" w14:textId="77777777" w:rsidR="00BA323C" w:rsidRPr="00BA323C" w:rsidRDefault="00BA323C" w:rsidP="00BA323C">
      <w:pPr>
        <w:numPr>
          <w:ilvl w:val="0"/>
          <w:numId w:val="16"/>
        </w:numPr>
      </w:pPr>
      <w:r w:rsidRPr="00BA323C">
        <w:t>Assess permitting pathways and land use considerations, including zoning classifications, local authority processes, community engagement strategies, and typical sources of opposition.</w:t>
      </w:r>
    </w:p>
    <w:p w14:paraId="0F3E6F37" w14:textId="77777777" w:rsidR="00BA323C" w:rsidRPr="00BA323C" w:rsidRDefault="00BA323C" w:rsidP="00BA323C">
      <w:pPr>
        <w:numPr>
          <w:ilvl w:val="0"/>
          <w:numId w:val="16"/>
        </w:numPr>
      </w:pPr>
      <w:r w:rsidRPr="00BA323C">
        <w:t xml:space="preserve">Conduct the core elements of </w:t>
      </w:r>
      <w:proofErr w:type="gramStart"/>
      <w:r w:rsidRPr="00BA323C">
        <w:t>real-estate</w:t>
      </w:r>
      <w:proofErr w:type="gramEnd"/>
      <w:r w:rsidRPr="00BA323C">
        <w:t xml:space="preserve"> and technical due diligence required to advance a solar project toward Notice to Proceed (NTP).</w:t>
      </w:r>
    </w:p>
    <w:p w14:paraId="693D5863" w14:textId="77777777" w:rsidR="00BA323C" w:rsidRPr="00BA323C" w:rsidRDefault="00BA323C" w:rsidP="00BA323C">
      <w:pPr>
        <w:numPr>
          <w:ilvl w:val="0"/>
          <w:numId w:val="16"/>
        </w:numPr>
      </w:pPr>
      <w:r w:rsidRPr="00BA323C">
        <w:t>Build and interpret a financial model for a utility-scale solar project, including PPA revenue projections, operating expenses, tax incentives, depreciation, EPC pricing, and investment returns.</w:t>
      </w:r>
    </w:p>
    <w:p w14:paraId="7174ABC6" w14:textId="77777777" w:rsidR="00BA323C" w:rsidRPr="00BA323C" w:rsidRDefault="00BA323C" w:rsidP="00BA323C">
      <w:pPr>
        <w:numPr>
          <w:ilvl w:val="0"/>
          <w:numId w:val="16"/>
        </w:numPr>
      </w:pPr>
      <w:r w:rsidRPr="00BA323C">
        <w:lastRenderedPageBreak/>
        <w:t>Prepare internal development memos—such as origination summaries, interconnection and permitting updates, and Investment Committee drafts—that mirror communication formats used in industry.</w:t>
      </w:r>
    </w:p>
    <w:p w14:paraId="23EEB4A8" w14:textId="77777777" w:rsidR="00BA323C" w:rsidRPr="00BA323C" w:rsidRDefault="00BA323C" w:rsidP="00BA323C">
      <w:pPr>
        <w:numPr>
          <w:ilvl w:val="0"/>
          <w:numId w:val="16"/>
        </w:numPr>
      </w:pPr>
      <w:r w:rsidRPr="00BA323C">
        <w:t>Evaluate development-stage projects from the perspective of a long-term asset owner, incorporating portfolio objectives, risk assessment, return requirements, and acquisition criteria.</w:t>
      </w:r>
    </w:p>
    <w:p w14:paraId="17954FE6" w14:textId="77777777" w:rsidR="00BA323C" w:rsidRPr="00BA323C" w:rsidRDefault="00BA323C" w:rsidP="00BA323C">
      <w:pPr>
        <w:numPr>
          <w:ilvl w:val="0"/>
          <w:numId w:val="16"/>
        </w:numPr>
      </w:pPr>
      <w:r w:rsidRPr="00BA323C">
        <w:t>Participate in a structured marketplace simulation by reviewing peer-developed projects, managing Q&amp;A, submitting binding acquisition bids, and selecting a project to acquire based on a Buyer Mandate.</w:t>
      </w:r>
    </w:p>
    <w:p w14:paraId="5626ED3D" w14:textId="77777777" w:rsidR="00BA323C" w:rsidRPr="00BA323C" w:rsidRDefault="00BA323C" w:rsidP="00BA323C">
      <w:pPr>
        <w:numPr>
          <w:ilvl w:val="0"/>
          <w:numId w:val="16"/>
        </w:numPr>
      </w:pPr>
      <w:r w:rsidRPr="00BA323C">
        <w:t>Deliver both a developer-side project pitch and a buyer-side Investment Committee recommendation that articulate the commercial rationale, technical underpinnings, risks, and financial performance of the project.</w:t>
      </w:r>
    </w:p>
    <w:p w14:paraId="2E683054" w14:textId="77777777" w:rsidR="00BA323C" w:rsidRPr="00BA323C" w:rsidRDefault="00BA323C" w:rsidP="00BA323C">
      <w:r w:rsidRPr="00BA323C">
        <w:pict w14:anchorId="4142F2C7">
          <v:rect id="_x0000_i1556" style="width:6in;height:1pt" o:hralign="center" o:hrstd="t" o:hr="t" fillcolor="#a0a0a0" stroked="f"/>
        </w:pict>
      </w:r>
    </w:p>
    <w:p w14:paraId="6E12C0F5" w14:textId="77777777" w:rsidR="00BA323C" w:rsidRPr="00BA323C" w:rsidRDefault="00BA323C" w:rsidP="00BA323C">
      <w:r w:rsidRPr="00BA323C">
        <w:t>Course Requirements and Grading</w:t>
      </w:r>
    </w:p>
    <w:p w14:paraId="60816AEB" w14:textId="77777777" w:rsidR="00BA323C" w:rsidRPr="00BA323C" w:rsidRDefault="00BA323C" w:rsidP="00BA323C">
      <w:r w:rsidRPr="00BA323C">
        <w:t>This course is designed such that students will have a deliverable prior to every class, either in the form of an assignment or a reading summary.</w:t>
      </w:r>
    </w:p>
    <w:p w14:paraId="5FEF9335" w14:textId="77777777" w:rsidR="00BA323C" w:rsidRPr="00BA323C" w:rsidRDefault="00BA323C" w:rsidP="00BA323C">
      <w:r w:rsidRPr="00BA323C">
        <w:rPr>
          <w:u w:val="single"/>
        </w:rPr>
        <w:t>Assignments (70%)</w:t>
      </w:r>
    </w:p>
    <w:p w14:paraId="04EF504B" w14:textId="77777777" w:rsidR="00BA323C" w:rsidRPr="00BA323C" w:rsidRDefault="00BA323C" w:rsidP="00BA323C">
      <w:r w:rsidRPr="00BA323C">
        <w:t>The bulk of the grading from this course will come from four assignments that will be done in teams. Assignments will be released one week prior to the due date and are due by 11:59 PM on the given date:</w:t>
      </w:r>
    </w:p>
    <w:p w14:paraId="6BE80045" w14:textId="77777777" w:rsidR="00BA323C" w:rsidRPr="00BA323C" w:rsidRDefault="00BA323C" w:rsidP="00BA323C">
      <w:pPr>
        <w:numPr>
          <w:ilvl w:val="0"/>
          <w:numId w:val="17"/>
        </w:numPr>
      </w:pPr>
      <w:r w:rsidRPr="00BA323C">
        <w:t>Assignment #1: Origination Memo -- Site, Land, and Production Analysis | 15%</w:t>
      </w:r>
    </w:p>
    <w:p w14:paraId="3E5F4BA8" w14:textId="77777777" w:rsidR="00BA323C" w:rsidRPr="00BA323C" w:rsidRDefault="00BA323C" w:rsidP="00BA323C">
      <w:pPr>
        <w:numPr>
          <w:ilvl w:val="0"/>
          <w:numId w:val="17"/>
        </w:numPr>
      </w:pPr>
      <w:r w:rsidRPr="00BA323C">
        <w:t>Assignment #2: Interconnection and Permitting Strategy Memo | 15%</w:t>
      </w:r>
    </w:p>
    <w:p w14:paraId="68E637C8" w14:textId="77777777" w:rsidR="00BA323C" w:rsidRPr="00BA323C" w:rsidRDefault="00BA323C" w:rsidP="00BA323C">
      <w:pPr>
        <w:numPr>
          <w:ilvl w:val="0"/>
          <w:numId w:val="17"/>
        </w:numPr>
      </w:pPr>
      <w:r w:rsidRPr="00BA323C">
        <w:t>Assignment #3: Financial Analysis &amp; Investment Committee Draft | 15%</w:t>
      </w:r>
    </w:p>
    <w:p w14:paraId="62F6E5FF" w14:textId="77777777" w:rsidR="00BA323C" w:rsidRPr="00BA323C" w:rsidRDefault="00BA323C" w:rsidP="00BA323C">
      <w:pPr>
        <w:numPr>
          <w:ilvl w:val="0"/>
          <w:numId w:val="17"/>
        </w:numPr>
      </w:pPr>
      <w:r w:rsidRPr="00BA323C">
        <w:t>Final Presentation -- Developer Pitch + Buyer Investment Committee Memo | 25%</w:t>
      </w:r>
    </w:p>
    <w:p w14:paraId="34E24885" w14:textId="77777777" w:rsidR="00BA323C" w:rsidRPr="00BA323C" w:rsidRDefault="00BA323C" w:rsidP="00BA323C">
      <w:r w:rsidRPr="00BA323C">
        <w:t>All team members will receive the same grade unless adjustments are required due to uneven contribution.</w:t>
      </w:r>
    </w:p>
    <w:p w14:paraId="6804EAD5" w14:textId="77777777" w:rsidR="00BA323C" w:rsidRPr="00BA323C" w:rsidRDefault="00BA323C" w:rsidP="00BA323C">
      <w:r w:rsidRPr="00BA323C">
        <w:rPr>
          <w:u w:val="single"/>
        </w:rPr>
        <w:t>Reading Summaries (15%)</w:t>
      </w:r>
    </w:p>
    <w:p w14:paraId="1FB1E963" w14:textId="77777777" w:rsidR="00BA323C" w:rsidRPr="00BA323C" w:rsidRDefault="00BA323C" w:rsidP="00BA323C">
      <w:r w:rsidRPr="00BA323C">
        <w:lastRenderedPageBreak/>
        <w:t>Reading summaries are due before specific lectures. These summaries are to be completed individually and consist of 300-word write-ups in responses to questions provided on 2-5 brief readings. These assignments will be available one week prior to their due date on Canvas and may be discussed at the beginning of class or by Guest Speakers. </w:t>
      </w:r>
      <w:r w:rsidRPr="00BA323C">
        <w:rPr>
          <w:b/>
          <w:bCs/>
        </w:rPr>
        <w:t>Late assignments will not be accepted and no make-up reading summaries will be allowed.</w:t>
      </w:r>
    </w:p>
    <w:p w14:paraId="0753460C" w14:textId="77777777" w:rsidR="00BA323C" w:rsidRPr="00BA323C" w:rsidRDefault="00BA323C" w:rsidP="00BA323C">
      <w:r w:rsidRPr="00BA323C">
        <w:t xml:space="preserve">Reading summaries will be scored </w:t>
      </w:r>
      <w:proofErr w:type="gramStart"/>
      <w:r w:rsidRPr="00BA323C">
        <w:t>along</w:t>
      </w:r>
      <w:proofErr w:type="gramEnd"/>
      <w:r w:rsidRPr="00BA323C">
        <w:t xml:space="preserve"> the following guidelines:</w:t>
      </w:r>
    </w:p>
    <w:p w14:paraId="20B2EDFD" w14:textId="77777777" w:rsidR="00BA323C" w:rsidRPr="00BA323C" w:rsidRDefault="00BA323C" w:rsidP="00BA323C">
      <w:pPr>
        <w:numPr>
          <w:ilvl w:val="0"/>
          <w:numId w:val="18"/>
        </w:numPr>
      </w:pPr>
      <w:r w:rsidRPr="00BA323C">
        <w:t>2 points (max): summary answers all provided questions thoroughly and thoughtfully</w:t>
      </w:r>
    </w:p>
    <w:p w14:paraId="0B60BC29" w14:textId="77777777" w:rsidR="00BA323C" w:rsidRPr="00BA323C" w:rsidRDefault="00BA323C" w:rsidP="00BA323C">
      <w:pPr>
        <w:numPr>
          <w:ilvl w:val="0"/>
          <w:numId w:val="18"/>
        </w:numPr>
      </w:pPr>
      <w:r w:rsidRPr="00BA323C">
        <w:t>1 point: summary does not address all provided questions and/or misses the point of the questions</w:t>
      </w:r>
    </w:p>
    <w:p w14:paraId="191F1BAE" w14:textId="77777777" w:rsidR="00BA323C" w:rsidRPr="00BA323C" w:rsidRDefault="00BA323C" w:rsidP="00BA323C">
      <w:pPr>
        <w:numPr>
          <w:ilvl w:val="0"/>
          <w:numId w:val="18"/>
        </w:numPr>
      </w:pPr>
      <w:r w:rsidRPr="00BA323C">
        <w:t>0 points: reading summary not turned in or turned in late</w:t>
      </w:r>
    </w:p>
    <w:p w14:paraId="5975B12F" w14:textId="77777777" w:rsidR="00BA323C" w:rsidRPr="00BA323C" w:rsidRDefault="00BA323C" w:rsidP="00BA323C">
      <w:r w:rsidRPr="00BA323C">
        <w:rPr>
          <w:u w:val="single"/>
        </w:rPr>
        <w:t>Attendance &amp; Participation (15%)</w:t>
      </w:r>
    </w:p>
    <w:p w14:paraId="131B4326" w14:textId="77777777" w:rsidR="00BA323C" w:rsidRPr="00BA323C" w:rsidRDefault="00BA323C" w:rsidP="00BA323C">
      <w:r w:rsidRPr="00BA323C">
        <w:t>Attendance is critical for a course that meets only once per week. Participation includes:</w:t>
      </w:r>
    </w:p>
    <w:p w14:paraId="17EBD1F0" w14:textId="77777777" w:rsidR="00BA323C" w:rsidRPr="00BA323C" w:rsidRDefault="00BA323C" w:rsidP="00BA323C">
      <w:pPr>
        <w:numPr>
          <w:ilvl w:val="0"/>
          <w:numId w:val="19"/>
        </w:numPr>
      </w:pPr>
      <w:r w:rsidRPr="00BA323C">
        <w:t>In-class discussions</w:t>
      </w:r>
    </w:p>
    <w:p w14:paraId="4CE1A274" w14:textId="77777777" w:rsidR="00BA323C" w:rsidRPr="00BA323C" w:rsidRDefault="00BA323C" w:rsidP="00BA323C">
      <w:pPr>
        <w:numPr>
          <w:ilvl w:val="0"/>
          <w:numId w:val="19"/>
        </w:numPr>
      </w:pPr>
      <w:r w:rsidRPr="00BA323C">
        <w:t>Engagement with guest speakers</w:t>
      </w:r>
    </w:p>
    <w:p w14:paraId="072213CF" w14:textId="77777777" w:rsidR="00BA323C" w:rsidRPr="00BA323C" w:rsidRDefault="00BA323C" w:rsidP="00BA323C">
      <w:pPr>
        <w:numPr>
          <w:ilvl w:val="0"/>
          <w:numId w:val="19"/>
        </w:numPr>
      </w:pPr>
      <w:r w:rsidRPr="00BA323C">
        <w:t>Preparedness in team meetings and Marketplace Week activities</w:t>
      </w:r>
    </w:p>
    <w:p w14:paraId="415EB39B" w14:textId="77777777" w:rsidR="00BA323C" w:rsidRPr="00BA323C" w:rsidRDefault="00BA323C" w:rsidP="00BA323C">
      <w:r w:rsidRPr="00BA323C">
        <w:t>Students are expected to attend all classes unless excused.</w:t>
      </w:r>
    </w:p>
    <w:p w14:paraId="691D1F1E" w14:textId="77777777" w:rsidR="00BA323C" w:rsidRPr="00BA323C" w:rsidRDefault="00BA323C" w:rsidP="00BA323C">
      <w:r w:rsidRPr="00BA323C">
        <w:pict w14:anchorId="40689ED3">
          <v:rect id="_x0000_i1557" style="width:468pt;height:1pt" o:hralign="center" o:hrstd="t" o:hr="t" fillcolor="#a0a0a0" stroked="f"/>
        </w:pict>
      </w:r>
    </w:p>
    <w:p w14:paraId="1D3FABA0" w14:textId="77777777" w:rsidR="00BA323C" w:rsidRPr="00BA323C" w:rsidRDefault="00BA323C" w:rsidP="00BA323C">
      <w:r w:rsidRPr="00BA323C">
        <w:rPr>
          <w:b/>
          <w:bCs/>
        </w:rPr>
        <w:t>Late Policy</w:t>
      </w:r>
    </w:p>
    <w:p w14:paraId="2EA7D7EB" w14:textId="77777777" w:rsidR="00BA323C" w:rsidRPr="00BA323C" w:rsidRDefault="00BA323C" w:rsidP="00BA323C">
      <w:r w:rsidRPr="00BA323C">
        <w:t>Assignments must be uploaded to Canvas by the posted due date. Assignments handed in after the posted deadline will incur a 25 percent penalty for each 24-hour period they are late. Assignments submitted more than 3 days after the posted due date and time will receive a grade of zero.</w:t>
      </w:r>
    </w:p>
    <w:p w14:paraId="78130E16" w14:textId="77777777" w:rsidR="00BA323C" w:rsidRPr="00BA323C" w:rsidRDefault="00BA323C" w:rsidP="00BA323C">
      <w:r w:rsidRPr="00BA323C">
        <w:t>Reading summaries turned in after the deadline will be given zero credit.</w:t>
      </w:r>
    </w:p>
    <w:p w14:paraId="0E105948" w14:textId="77777777" w:rsidR="00BA323C" w:rsidRPr="00BA323C" w:rsidRDefault="00BA323C" w:rsidP="00BA323C">
      <w:r w:rsidRPr="00BA323C">
        <w:lastRenderedPageBreak/>
        <w:pict w14:anchorId="08A1D906">
          <v:rect id="_x0000_i1558" style="width:468pt;height:1pt" o:hralign="center" o:hrstd="t" o:hr="t" fillcolor="#a0a0a0" stroked="f"/>
        </w:pict>
      </w:r>
    </w:p>
    <w:p w14:paraId="243DD93A" w14:textId="77777777" w:rsidR="00BA323C" w:rsidRPr="00BA323C" w:rsidRDefault="00BA323C" w:rsidP="00BA323C">
      <w:r w:rsidRPr="00BA323C">
        <w:rPr>
          <w:b/>
          <w:bCs/>
        </w:rPr>
        <w:t>Duke Community Standard </w:t>
      </w:r>
    </w:p>
    <w:p w14:paraId="73C35724" w14:textId="77777777" w:rsidR="00BA323C" w:rsidRPr="00BA323C" w:rsidRDefault="00BA323C" w:rsidP="00BA323C">
      <w:r w:rsidRPr="00BA323C">
        <w:t xml:space="preserve">Duke University is a community dedicated to scholarship, leadership, and service and to the principles of honesty, fairness, respect, and accountability. Citizens of this community commit to reflect upon and uphold these principles in all academic and </w:t>
      </w:r>
      <w:proofErr w:type="gramStart"/>
      <w:r w:rsidRPr="00BA323C">
        <w:t>nonacademic</w:t>
      </w:r>
      <w:proofErr w:type="gramEnd"/>
      <w:r w:rsidRPr="00BA323C">
        <w:t xml:space="preserve"> endeavors, and to protect and promote a culture of integrity.  </w:t>
      </w:r>
      <w:r w:rsidRPr="00BA323C">
        <w:rPr>
          <w:b/>
          <w:bCs/>
          <w:u w:val="single"/>
        </w:rPr>
        <w:t>The Pledge:</w:t>
      </w:r>
      <w:r w:rsidRPr="00BA323C">
        <w:t>  Students affirm their commitment to uphold the values of the Duke University community by signing a pledge that states:  </w:t>
      </w:r>
      <w:r w:rsidRPr="00BA323C">
        <w:rPr>
          <w:b/>
          <w:bCs/>
        </w:rPr>
        <w:t>To uphold the Duke Community Standard:</w:t>
      </w:r>
      <w:r w:rsidRPr="00BA323C">
        <w:t>  I will not lie, cheat, or steal in my academic endeavors; I will conduct myself responsibly in all my endeavors; and I will act if the Standard is compromised. </w:t>
      </w:r>
    </w:p>
    <w:p w14:paraId="27F2EE73" w14:textId="77777777" w:rsidR="00BA323C" w:rsidRPr="00BA323C" w:rsidRDefault="00BA323C" w:rsidP="00BA323C">
      <w:r w:rsidRPr="00BA323C">
        <w:pict w14:anchorId="440F82E3">
          <v:rect id="_x0000_i1559" style="width:468pt;height:1pt" o:hralign="center" o:hrstd="t" o:hr="t" fillcolor="#a0a0a0" stroked="f"/>
        </w:pict>
      </w:r>
    </w:p>
    <w:p w14:paraId="2DB27AAF" w14:textId="77777777" w:rsidR="00BA323C" w:rsidRPr="00BA323C" w:rsidRDefault="00BA323C" w:rsidP="00BA323C">
      <w:r w:rsidRPr="00BA323C">
        <w:rPr>
          <w:b/>
          <w:bCs/>
        </w:rPr>
        <w:t>Use of Generative AI (e.g., ChatGPT)</w:t>
      </w:r>
    </w:p>
    <w:p w14:paraId="33195B4D" w14:textId="77777777" w:rsidR="00BA323C" w:rsidRPr="00BA323C" w:rsidRDefault="00BA323C" w:rsidP="00BA323C">
      <w:r w:rsidRPr="00BA323C">
        <w:t xml:space="preserve">All work you submit for this class must be your own. The world of generative artificial intelligence (AI), most prominently ChatGPT, however, has complicated what “your own” involves. Just as use of a calculator to solve math problems is not only acceptable but expected, AI is quickly finding its way into everyday use through online search applications and word processing software. The line between acceptable and unacceptable use is therefore blurry. At minimum, copying results from ChatGPT or a similar application verbatim into an assignment or exam is plagiarism and a violation of the Duke Community Standard and Nicholas School Honor Code that is subject to punishment for academic misconduct. Use of AI as a starting point (i.e., the equivalent of a Google search) on assignments is fine, though your submitted work must reflect significant original thought and effort on your part. Think of AI as one of your classmates: any use of a peer on an assignment or exam that is improper (e.g., copying from another’s work, having a buddy complete assignment or exam questions for you) is also </w:t>
      </w:r>
      <w:proofErr w:type="gramStart"/>
      <w:r w:rsidRPr="00BA323C">
        <w:t>an improper</w:t>
      </w:r>
      <w:proofErr w:type="gramEnd"/>
      <w:r w:rsidRPr="00BA323C">
        <w:t xml:space="preserve"> use of AI apps.</w:t>
      </w:r>
    </w:p>
    <w:p w14:paraId="6ED056A3" w14:textId="77777777" w:rsidR="00BA323C" w:rsidRPr="00BA323C" w:rsidRDefault="00BA323C" w:rsidP="00BA323C">
      <w:r w:rsidRPr="00BA323C">
        <w:pict w14:anchorId="221D11CA">
          <v:rect id="_x0000_i1560" style="width:468pt;height:1pt" o:hralign="center" o:hrstd="t" o:hr="t" fillcolor="#a0a0a0" stroked="f"/>
        </w:pict>
      </w:r>
    </w:p>
    <w:p w14:paraId="499897DC" w14:textId="77777777" w:rsidR="00BA323C" w:rsidRPr="00BA323C" w:rsidRDefault="00BA323C" w:rsidP="00BA323C">
      <w:r w:rsidRPr="00BA323C">
        <w:rPr>
          <w:b/>
          <w:bCs/>
        </w:rPr>
        <w:t>Course Schedule</w:t>
      </w:r>
    </w:p>
    <w:p w14:paraId="7E06BB72" w14:textId="77777777" w:rsidR="00BA323C" w:rsidRPr="00BA323C" w:rsidRDefault="00BA323C" w:rsidP="00BA323C">
      <w:r w:rsidRPr="00BA323C">
        <w:t></w:t>
      </w:r>
    </w:p>
    <w:tbl>
      <w:tblPr>
        <w:tblW w:w="19198" w:type="dxa"/>
        <w:tblInd w:w="-990" w:type="dxa"/>
        <w:tblCellMar>
          <w:left w:w="0" w:type="dxa"/>
          <w:right w:w="0" w:type="dxa"/>
        </w:tblCellMar>
        <w:tblLook w:val="04A0" w:firstRow="1" w:lastRow="0" w:firstColumn="1" w:lastColumn="0" w:noHBand="0" w:noVBand="1"/>
      </w:tblPr>
      <w:tblGrid>
        <w:gridCol w:w="1170"/>
        <w:gridCol w:w="810"/>
        <w:gridCol w:w="2880"/>
        <w:gridCol w:w="14338"/>
      </w:tblGrid>
      <w:tr w:rsidR="00BA323C" w:rsidRPr="00BA323C" w14:paraId="554C244D" w14:textId="77777777" w:rsidTr="00BA323C">
        <w:trPr>
          <w:trHeight w:val="1338"/>
        </w:trPr>
        <w:tc>
          <w:tcPr>
            <w:tcW w:w="1170" w:type="dxa"/>
            <w:tcMar>
              <w:top w:w="30" w:type="dxa"/>
              <w:left w:w="30" w:type="dxa"/>
              <w:bottom w:w="30" w:type="dxa"/>
              <w:right w:w="30" w:type="dxa"/>
            </w:tcMar>
            <w:vAlign w:val="center"/>
            <w:hideMark/>
          </w:tcPr>
          <w:p w14:paraId="6351ED29" w14:textId="77777777" w:rsidR="00BA323C" w:rsidRPr="00BA323C" w:rsidRDefault="00BA323C" w:rsidP="00BA323C">
            <w:r w:rsidRPr="00BA323C">
              <w:rPr>
                <w:b/>
                <w:bCs/>
              </w:rPr>
              <w:lastRenderedPageBreak/>
              <w:t>Lecture</w:t>
            </w:r>
          </w:p>
        </w:tc>
        <w:tc>
          <w:tcPr>
            <w:tcW w:w="810" w:type="dxa"/>
            <w:tcMar>
              <w:top w:w="30" w:type="dxa"/>
              <w:left w:w="30" w:type="dxa"/>
              <w:bottom w:w="30" w:type="dxa"/>
              <w:right w:w="30" w:type="dxa"/>
            </w:tcMar>
            <w:vAlign w:val="center"/>
            <w:hideMark/>
          </w:tcPr>
          <w:p w14:paraId="59043BB3" w14:textId="77777777" w:rsidR="00BA323C" w:rsidRPr="00BA323C" w:rsidRDefault="00BA323C" w:rsidP="00BA323C">
            <w:r w:rsidRPr="00BA323C">
              <w:rPr>
                <w:b/>
                <w:bCs/>
              </w:rPr>
              <w:t>Date</w:t>
            </w:r>
          </w:p>
        </w:tc>
        <w:tc>
          <w:tcPr>
            <w:tcW w:w="2880" w:type="dxa"/>
            <w:tcMar>
              <w:top w:w="30" w:type="dxa"/>
              <w:left w:w="30" w:type="dxa"/>
              <w:bottom w:w="30" w:type="dxa"/>
              <w:right w:w="30" w:type="dxa"/>
            </w:tcMar>
            <w:vAlign w:val="center"/>
            <w:hideMark/>
          </w:tcPr>
          <w:p w14:paraId="12731AE5" w14:textId="77777777" w:rsidR="00BA323C" w:rsidRPr="00BA323C" w:rsidRDefault="00BA323C" w:rsidP="00BA323C">
            <w:r w:rsidRPr="00BA323C">
              <w:rPr>
                <w:b/>
                <w:bCs/>
              </w:rPr>
              <w:t>Topic</w:t>
            </w:r>
          </w:p>
        </w:tc>
        <w:tc>
          <w:tcPr>
            <w:tcW w:w="14338" w:type="dxa"/>
            <w:tcMar>
              <w:top w:w="30" w:type="dxa"/>
              <w:left w:w="30" w:type="dxa"/>
              <w:bottom w:w="30" w:type="dxa"/>
              <w:right w:w="30" w:type="dxa"/>
            </w:tcMar>
            <w:vAlign w:val="center"/>
            <w:hideMark/>
          </w:tcPr>
          <w:p w14:paraId="64DB8700" w14:textId="77777777" w:rsidR="00BA323C" w:rsidRPr="00BA323C" w:rsidRDefault="00BA323C" w:rsidP="00BA323C">
            <w:r w:rsidRPr="00BA323C">
              <w:rPr>
                <w:b/>
                <w:bCs/>
              </w:rPr>
              <w:t>Readings/Assignments</w:t>
            </w:r>
          </w:p>
          <w:p w14:paraId="54D6F399" w14:textId="77777777" w:rsidR="00BA323C" w:rsidRPr="00BA323C" w:rsidRDefault="00BA323C" w:rsidP="00BA323C">
            <w:r w:rsidRPr="00BA323C">
              <w:rPr>
                <w:b/>
                <w:bCs/>
              </w:rPr>
              <w:t>(subject to change)</w:t>
            </w:r>
          </w:p>
        </w:tc>
      </w:tr>
      <w:tr w:rsidR="00BA323C" w:rsidRPr="00BA323C" w14:paraId="3DBF5DE5" w14:textId="77777777" w:rsidTr="00BA323C">
        <w:trPr>
          <w:trHeight w:val="1338"/>
        </w:trPr>
        <w:tc>
          <w:tcPr>
            <w:tcW w:w="1170" w:type="dxa"/>
            <w:tcMar>
              <w:top w:w="30" w:type="dxa"/>
              <w:left w:w="30" w:type="dxa"/>
              <w:bottom w:w="30" w:type="dxa"/>
              <w:right w:w="30" w:type="dxa"/>
            </w:tcMar>
            <w:vAlign w:val="center"/>
            <w:hideMark/>
          </w:tcPr>
          <w:p w14:paraId="65197124" w14:textId="77777777" w:rsidR="00BA323C" w:rsidRPr="00BA323C" w:rsidRDefault="00BA323C" w:rsidP="00BA323C">
            <w:r w:rsidRPr="00BA323C">
              <w:t>1</w:t>
            </w:r>
          </w:p>
        </w:tc>
        <w:tc>
          <w:tcPr>
            <w:tcW w:w="810" w:type="dxa"/>
            <w:tcMar>
              <w:top w:w="30" w:type="dxa"/>
              <w:left w:w="30" w:type="dxa"/>
              <w:bottom w:w="30" w:type="dxa"/>
              <w:right w:w="30" w:type="dxa"/>
            </w:tcMar>
            <w:vAlign w:val="center"/>
            <w:hideMark/>
          </w:tcPr>
          <w:p w14:paraId="1C1663BF" w14:textId="77777777" w:rsidR="00BA323C" w:rsidRPr="00BA323C" w:rsidRDefault="00BA323C" w:rsidP="00BA323C">
            <w:r w:rsidRPr="00BA323C">
              <w:t>1/8</w:t>
            </w:r>
          </w:p>
        </w:tc>
        <w:tc>
          <w:tcPr>
            <w:tcW w:w="2880" w:type="dxa"/>
            <w:tcMar>
              <w:top w:w="30" w:type="dxa"/>
              <w:left w:w="30" w:type="dxa"/>
              <w:bottom w:w="30" w:type="dxa"/>
              <w:right w:w="30" w:type="dxa"/>
            </w:tcMar>
            <w:vAlign w:val="center"/>
            <w:hideMark/>
          </w:tcPr>
          <w:p w14:paraId="21FD5EEB" w14:textId="77777777" w:rsidR="00BA323C" w:rsidRPr="00BA323C" w:rsidRDefault="00BA323C" w:rsidP="00BA323C">
            <w:r w:rsidRPr="00BA323C">
              <w:rPr>
                <w:b/>
                <w:bCs/>
              </w:rPr>
              <w:t>Class Introduction &amp; Energy Trends</w:t>
            </w:r>
          </w:p>
          <w:p w14:paraId="102F309F" w14:textId="77777777" w:rsidR="00BA323C" w:rsidRPr="00BA323C" w:rsidRDefault="00BA323C" w:rsidP="00BA323C">
            <w:r w:rsidRPr="00BA323C">
              <w:rPr>
                <w:i/>
                <w:iCs/>
              </w:rPr>
              <w:t>Instructor: Adam Medoff, Scott Starr, &amp; Rory Huntly</w:t>
            </w:r>
          </w:p>
        </w:tc>
        <w:tc>
          <w:tcPr>
            <w:tcW w:w="14338" w:type="dxa"/>
            <w:tcMar>
              <w:top w:w="30" w:type="dxa"/>
              <w:left w:w="30" w:type="dxa"/>
              <w:bottom w:w="30" w:type="dxa"/>
              <w:right w:w="30" w:type="dxa"/>
            </w:tcMar>
            <w:vAlign w:val="center"/>
            <w:hideMark/>
          </w:tcPr>
          <w:p w14:paraId="7D68EFAB" w14:textId="77777777" w:rsidR="00BA323C" w:rsidRPr="00BA323C" w:rsidRDefault="00BA323C" w:rsidP="00BA323C">
            <w:pPr>
              <w:numPr>
                <w:ilvl w:val="0"/>
                <w:numId w:val="20"/>
              </w:numPr>
            </w:pPr>
            <w:r w:rsidRPr="00BA323C">
              <w:t>None</w:t>
            </w:r>
          </w:p>
        </w:tc>
      </w:tr>
      <w:tr w:rsidR="00BA323C" w:rsidRPr="00BA323C" w14:paraId="1167BD9A" w14:textId="77777777" w:rsidTr="00BA323C">
        <w:trPr>
          <w:trHeight w:val="1877"/>
        </w:trPr>
        <w:tc>
          <w:tcPr>
            <w:tcW w:w="1170" w:type="dxa"/>
            <w:tcMar>
              <w:top w:w="30" w:type="dxa"/>
              <w:left w:w="30" w:type="dxa"/>
              <w:bottom w:w="30" w:type="dxa"/>
              <w:right w:w="30" w:type="dxa"/>
            </w:tcMar>
            <w:vAlign w:val="center"/>
            <w:hideMark/>
          </w:tcPr>
          <w:p w14:paraId="7181EDE2" w14:textId="77777777" w:rsidR="00BA323C" w:rsidRPr="00BA323C" w:rsidRDefault="00BA323C" w:rsidP="00BA323C">
            <w:r w:rsidRPr="00BA323C">
              <w:t>2</w:t>
            </w:r>
          </w:p>
        </w:tc>
        <w:tc>
          <w:tcPr>
            <w:tcW w:w="810" w:type="dxa"/>
            <w:tcMar>
              <w:top w:w="30" w:type="dxa"/>
              <w:left w:w="30" w:type="dxa"/>
              <w:bottom w:w="30" w:type="dxa"/>
              <w:right w:w="30" w:type="dxa"/>
            </w:tcMar>
            <w:vAlign w:val="center"/>
            <w:hideMark/>
          </w:tcPr>
          <w:p w14:paraId="208FF32F" w14:textId="77777777" w:rsidR="00BA323C" w:rsidRPr="00BA323C" w:rsidRDefault="00BA323C" w:rsidP="00BA323C">
            <w:r w:rsidRPr="00BA323C">
              <w:t>1/15</w:t>
            </w:r>
          </w:p>
        </w:tc>
        <w:tc>
          <w:tcPr>
            <w:tcW w:w="2880" w:type="dxa"/>
            <w:tcMar>
              <w:top w:w="30" w:type="dxa"/>
              <w:left w:w="30" w:type="dxa"/>
              <w:bottom w:w="30" w:type="dxa"/>
              <w:right w:w="30" w:type="dxa"/>
            </w:tcMar>
            <w:vAlign w:val="center"/>
            <w:hideMark/>
          </w:tcPr>
          <w:p w14:paraId="4D71241F" w14:textId="77777777" w:rsidR="00BA323C" w:rsidRPr="00BA323C" w:rsidRDefault="00BA323C" w:rsidP="00BA323C">
            <w:r w:rsidRPr="00BA323C">
              <w:rPr>
                <w:b/>
                <w:bCs/>
              </w:rPr>
              <w:t>Industry, Technology &amp; Development Overview</w:t>
            </w:r>
          </w:p>
          <w:p w14:paraId="08838F22" w14:textId="77777777" w:rsidR="00BA323C" w:rsidRPr="00BA323C" w:rsidRDefault="00BA323C" w:rsidP="00BA323C">
            <w:r w:rsidRPr="00BA323C">
              <w:rPr>
                <w:i/>
                <w:iCs/>
              </w:rPr>
              <w:t>Instructor: Scott Starr</w:t>
            </w:r>
          </w:p>
          <w:p w14:paraId="3A16C4F9" w14:textId="77777777" w:rsidR="00BA323C" w:rsidRPr="00BA323C" w:rsidRDefault="00BA323C" w:rsidP="00BA323C">
            <w:r w:rsidRPr="00BA323C">
              <w:rPr>
                <w:i/>
                <w:iCs/>
              </w:rPr>
              <w:t> </w:t>
            </w:r>
          </w:p>
        </w:tc>
        <w:tc>
          <w:tcPr>
            <w:tcW w:w="14338" w:type="dxa"/>
            <w:tcMar>
              <w:top w:w="30" w:type="dxa"/>
              <w:left w:w="30" w:type="dxa"/>
              <w:bottom w:w="30" w:type="dxa"/>
              <w:right w:w="30" w:type="dxa"/>
            </w:tcMar>
            <w:vAlign w:val="center"/>
            <w:hideMark/>
          </w:tcPr>
          <w:p w14:paraId="168F5216" w14:textId="77777777" w:rsidR="00BA323C" w:rsidRPr="00BA323C" w:rsidRDefault="00BA323C" w:rsidP="00BA323C">
            <w:pPr>
              <w:numPr>
                <w:ilvl w:val="0"/>
                <w:numId w:val="21"/>
              </w:numPr>
            </w:pPr>
            <w:r w:rsidRPr="00BA323C">
              <w:t>Solar Energy Industries Association (SEIA) - US Solar Data Cheat Sheet</w:t>
            </w:r>
          </w:p>
          <w:p w14:paraId="134CD05D" w14:textId="77777777" w:rsidR="00BA323C" w:rsidRPr="00BA323C" w:rsidRDefault="00BA323C" w:rsidP="00BA323C">
            <w:pPr>
              <w:numPr>
                <w:ilvl w:val="0"/>
                <w:numId w:val="21"/>
              </w:numPr>
            </w:pPr>
            <w:r w:rsidRPr="00BA323C">
              <w:t>Solar Basics - Components and Terms (NCSP)</w:t>
            </w:r>
          </w:p>
          <w:p w14:paraId="04E2465F" w14:textId="77777777" w:rsidR="00BA323C" w:rsidRPr="00BA323C" w:rsidRDefault="00BA323C" w:rsidP="00BA323C">
            <w:pPr>
              <w:numPr>
                <w:ilvl w:val="0"/>
                <w:numId w:val="21"/>
              </w:numPr>
            </w:pPr>
            <w:r w:rsidRPr="00BA323C">
              <w:t>Solving the Renewable Energy Project Development Puzzle - (R. Huntly)</w:t>
            </w:r>
          </w:p>
          <w:p w14:paraId="77B26208" w14:textId="77777777" w:rsidR="00BA323C" w:rsidRPr="00BA323C" w:rsidRDefault="00BA323C" w:rsidP="00BA323C">
            <w:pPr>
              <w:numPr>
                <w:ilvl w:val="0"/>
                <w:numId w:val="21"/>
              </w:numPr>
            </w:pPr>
            <w:r w:rsidRPr="00BA323C">
              <w:rPr>
                <w:b/>
                <w:bCs/>
              </w:rPr>
              <w:t>Reading Summary #1 Due </w:t>
            </w:r>
          </w:p>
        </w:tc>
      </w:tr>
      <w:tr w:rsidR="00BA323C" w:rsidRPr="00BA323C" w14:paraId="320FC4F0" w14:textId="77777777" w:rsidTr="00BA323C">
        <w:trPr>
          <w:trHeight w:val="1697"/>
        </w:trPr>
        <w:tc>
          <w:tcPr>
            <w:tcW w:w="1170" w:type="dxa"/>
            <w:tcMar>
              <w:top w:w="30" w:type="dxa"/>
              <w:left w:w="30" w:type="dxa"/>
              <w:bottom w:w="30" w:type="dxa"/>
              <w:right w:w="30" w:type="dxa"/>
            </w:tcMar>
            <w:vAlign w:val="center"/>
            <w:hideMark/>
          </w:tcPr>
          <w:p w14:paraId="53E1779D" w14:textId="77777777" w:rsidR="00BA323C" w:rsidRPr="00BA323C" w:rsidRDefault="00BA323C" w:rsidP="00BA323C">
            <w:r w:rsidRPr="00BA323C">
              <w:t>3</w:t>
            </w:r>
          </w:p>
        </w:tc>
        <w:tc>
          <w:tcPr>
            <w:tcW w:w="810" w:type="dxa"/>
            <w:tcMar>
              <w:top w:w="30" w:type="dxa"/>
              <w:left w:w="30" w:type="dxa"/>
              <w:bottom w:w="30" w:type="dxa"/>
              <w:right w:w="30" w:type="dxa"/>
            </w:tcMar>
            <w:vAlign w:val="center"/>
            <w:hideMark/>
          </w:tcPr>
          <w:p w14:paraId="0BB6A47F" w14:textId="77777777" w:rsidR="00BA323C" w:rsidRPr="00BA323C" w:rsidRDefault="00BA323C" w:rsidP="00BA323C">
            <w:r w:rsidRPr="00BA323C">
              <w:t>1/22</w:t>
            </w:r>
          </w:p>
        </w:tc>
        <w:tc>
          <w:tcPr>
            <w:tcW w:w="2880" w:type="dxa"/>
            <w:tcMar>
              <w:top w:w="30" w:type="dxa"/>
              <w:left w:w="30" w:type="dxa"/>
              <w:bottom w:w="30" w:type="dxa"/>
              <w:right w:w="30" w:type="dxa"/>
            </w:tcMar>
            <w:vAlign w:val="center"/>
            <w:hideMark/>
          </w:tcPr>
          <w:p w14:paraId="78D1432C" w14:textId="77777777" w:rsidR="00BA323C" w:rsidRPr="00BA323C" w:rsidRDefault="00BA323C" w:rsidP="00BA323C">
            <w:r w:rsidRPr="00BA323C">
              <w:rPr>
                <w:b/>
                <w:bCs/>
              </w:rPr>
              <w:t>Intro to Solar Investment</w:t>
            </w:r>
          </w:p>
          <w:p w14:paraId="0F0AE12E" w14:textId="77777777" w:rsidR="00BA323C" w:rsidRPr="00BA323C" w:rsidRDefault="00BA323C" w:rsidP="00BA323C">
            <w:r w:rsidRPr="00BA323C">
              <w:rPr>
                <w:i/>
                <w:iCs/>
              </w:rPr>
              <w:t>Instructor: Adam Medoff</w:t>
            </w:r>
            <w:r w:rsidRPr="00BA323C">
              <w:rPr>
                <w:i/>
                <w:iCs/>
              </w:rPr>
              <w:br/>
              <w:t>Guest Speaker: Ben Abram, Modern Energy</w:t>
            </w:r>
          </w:p>
        </w:tc>
        <w:tc>
          <w:tcPr>
            <w:tcW w:w="14338" w:type="dxa"/>
            <w:tcMar>
              <w:top w:w="30" w:type="dxa"/>
              <w:left w:w="30" w:type="dxa"/>
              <w:bottom w:w="30" w:type="dxa"/>
              <w:right w:w="30" w:type="dxa"/>
            </w:tcMar>
            <w:vAlign w:val="center"/>
            <w:hideMark/>
          </w:tcPr>
          <w:p w14:paraId="2F6D4E4B" w14:textId="77777777" w:rsidR="00BA323C" w:rsidRPr="00BA323C" w:rsidRDefault="00BA323C" w:rsidP="00BA323C">
            <w:pPr>
              <w:numPr>
                <w:ilvl w:val="0"/>
                <w:numId w:val="22"/>
              </w:numPr>
            </w:pPr>
            <w:r w:rsidRPr="00BA323C">
              <w:t>Rystad Energy: Solar PV Report, 2Q 2025</w:t>
            </w:r>
          </w:p>
          <w:p w14:paraId="0F617003" w14:textId="77777777" w:rsidR="00BA323C" w:rsidRPr="00BA323C" w:rsidRDefault="00BA323C" w:rsidP="00BA323C">
            <w:pPr>
              <w:numPr>
                <w:ilvl w:val="0"/>
                <w:numId w:val="22"/>
              </w:numPr>
            </w:pPr>
            <w:r w:rsidRPr="00BA323C">
              <w:t>Rystad Energy: Renewables &amp; Power Trends Report, August 2025</w:t>
            </w:r>
          </w:p>
          <w:p w14:paraId="2812D19F" w14:textId="77777777" w:rsidR="00BA323C" w:rsidRPr="00BA323C" w:rsidRDefault="00BA323C" w:rsidP="00BA323C">
            <w:pPr>
              <w:numPr>
                <w:ilvl w:val="0"/>
                <w:numId w:val="22"/>
              </w:numPr>
            </w:pPr>
            <w:r w:rsidRPr="00BA323C">
              <w:t xml:space="preserve">LSEG: Investing in the </w:t>
            </w:r>
            <w:proofErr w:type="gramStart"/>
            <w:r w:rsidRPr="00BA323C">
              <w:t>green economy</w:t>
            </w:r>
            <w:proofErr w:type="gramEnd"/>
            <w:r w:rsidRPr="00BA323C">
              <w:t xml:space="preserve"> 2025</w:t>
            </w:r>
          </w:p>
          <w:p w14:paraId="750092E1" w14:textId="77777777" w:rsidR="00BA323C" w:rsidRPr="00BA323C" w:rsidRDefault="00BA323C" w:rsidP="00BA323C">
            <w:pPr>
              <w:numPr>
                <w:ilvl w:val="0"/>
                <w:numId w:val="22"/>
              </w:numPr>
            </w:pPr>
            <w:r w:rsidRPr="00BA323C">
              <w:t>Javelin Capital: Development Asset Valuation</w:t>
            </w:r>
          </w:p>
        </w:tc>
      </w:tr>
      <w:tr w:rsidR="00BA323C" w:rsidRPr="00BA323C" w14:paraId="0C2B4E7C" w14:textId="77777777" w:rsidTr="00BA323C">
        <w:trPr>
          <w:trHeight w:val="2057"/>
        </w:trPr>
        <w:tc>
          <w:tcPr>
            <w:tcW w:w="1170" w:type="dxa"/>
            <w:tcMar>
              <w:top w:w="30" w:type="dxa"/>
              <w:left w:w="30" w:type="dxa"/>
              <w:bottom w:w="30" w:type="dxa"/>
              <w:right w:w="30" w:type="dxa"/>
            </w:tcMar>
            <w:vAlign w:val="center"/>
            <w:hideMark/>
          </w:tcPr>
          <w:p w14:paraId="22030720" w14:textId="77777777" w:rsidR="00BA323C" w:rsidRPr="00BA323C" w:rsidRDefault="00BA323C" w:rsidP="00BA323C">
            <w:r w:rsidRPr="00BA323C">
              <w:lastRenderedPageBreak/>
              <w:t>4</w:t>
            </w:r>
          </w:p>
        </w:tc>
        <w:tc>
          <w:tcPr>
            <w:tcW w:w="810" w:type="dxa"/>
            <w:tcMar>
              <w:top w:w="30" w:type="dxa"/>
              <w:left w:w="30" w:type="dxa"/>
              <w:bottom w:w="30" w:type="dxa"/>
              <w:right w:w="30" w:type="dxa"/>
            </w:tcMar>
            <w:vAlign w:val="center"/>
            <w:hideMark/>
          </w:tcPr>
          <w:p w14:paraId="69352B97" w14:textId="77777777" w:rsidR="00BA323C" w:rsidRPr="00BA323C" w:rsidRDefault="00BA323C" w:rsidP="00BA323C">
            <w:r w:rsidRPr="00BA323C">
              <w:t>1/29</w:t>
            </w:r>
          </w:p>
        </w:tc>
        <w:tc>
          <w:tcPr>
            <w:tcW w:w="2880" w:type="dxa"/>
            <w:tcMar>
              <w:top w:w="30" w:type="dxa"/>
              <w:left w:w="30" w:type="dxa"/>
              <w:bottom w:w="30" w:type="dxa"/>
              <w:right w:w="30" w:type="dxa"/>
            </w:tcMar>
            <w:vAlign w:val="center"/>
            <w:hideMark/>
          </w:tcPr>
          <w:p w14:paraId="37D63F4F" w14:textId="77777777" w:rsidR="00BA323C" w:rsidRPr="00BA323C" w:rsidRDefault="00BA323C" w:rsidP="00BA323C">
            <w:r w:rsidRPr="00BA323C">
              <w:rPr>
                <w:b/>
                <w:bCs/>
              </w:rPr>
              <w:t>Public Policy &amp; Regulatory</w:t>
            </w:r>
          </w:p>
          <w:p w14:paraId="3147926A" w14:textId="77777777" w:rsidR="00BA323C" w:rsidRPr="00BA323C" w:rsidRDefault="00BA323C" w:rsidP="00BA323C">
            <w:r w:rsidRPr="00BA323C">
              <w:rPr>
                <w:i/>
                <w:iCs/>
              </w:rPr>
              <w:t>Instructor: Scott Starr</w:t>
            </w:r>
            <w:r w:rsidRPr="00BA323C">
              <w:rPr>
                <w:i/>
                <w:iCs/>
              </w:rPr>
              <w:br/>
              <w:t>Guest Speaker: John Burns, Carolinas Clean Energy Business Association</w:t>
            </w:r>
          </w:p>
        </w:tc>
        <w:tc>
          <w:tcPr>
            <w:tcW w:w="14338" w:type="dxa"/>
            <w:tcMar>
              <w:top w:w="30" w:type="dxa"/>
              <w:left w:w="30" w:type="dxa"/>
              <w:bottom w:w="30" w:type="dxa"/>
              <w:right w:w="30" w:type="dxa"/>
            </w:tcMar>
            <w:vAlign w:val="center"/>
            <w:hideMark/>
          </w:tcPr>
          <w:p w14:paraId="21C8C8BF" w14:textId="77777777" w:rsidR="00BA323C" w:rsidRPr="00BA323C" w:rsidRDefault="00BA323C" w:rsidP="00BA323C">
            <w:pPr>
              <w:numPr>
                <w:ilvl w:val="0"/>
                <w:numId w:val="23"/>
              </w:numPr>
            </w:pPr>
            <w:r w:rsidRPr="00BA323C">
              <w:t>FERC 101: Electricity Regulation and the Federal Energy Regulatory Commission</w:t>
            </w:r>
          </w:p>
          <w:p w14:paraId="2ECA11DE" w14:textId="77777777" w:rsidR="00BA323C" w:rsidRPr="00BA323C" w:rsidRDefault="00BA323C" w:rsidP="00BA323C">
            <w:pPr>
              <w:numPr>
                <w:ilvl w:val="0"/>
                <w:numId w:val="23"/>
              </w:numPr>
            </w:pPr>
            <w:r w:rsidRPr="00BA323C">
              <w:t>An Introductory Guide to Electricity Markets Regulated by the FERC."</w:t>
            </w:r>
          </w:p>
          <w:p w14:paraId="191C3A42" w14:textId="77777777" w:rsidR="00BA323C" w:rsidRPr="00BA323C" w:rsidRDefault="00BA323C" w:rsidP="00BA323C">
            <w:pPr>
              <w:numPr>
                <w:ilvl w:val="0"/>
                <w:numId w:val="23"/>
              </w:numPr>
            </w:pPr>
            <w:r w:rsidRPr="00BA323C">
              <w:t>Policies and Regulations for Renewable Energy. (Read single webpage, skim sections of interest)</w:t>
            </w:r>
          </w:p>
          <w:p w14:paraId="6AF3A9D3" w14:textId="77777777" w:rsidR="00BA323C" w:rsidRPr="00BA323C" w:rsidRDefault="00BA323C" w:rsidP="00BA323C">
            <w:pPr>
              <w:numPr>
                <w:ilvl w:val="0"/>
                <w:numId w:val="23"/>
              </w:numPr>
            </w:pPr>
            <w:r w:rsidRPr="00BA323C">
              <w:t>What are public utility commissions? A beginner’s guide.</w:t>
            </w:r>
          </w:p>
          <w:p w14:paraId="20C6F82B" w14:textId="77777777" w:rsidR="00BA323C" w:rsidRPr="00BA323C" w:rsidRDefault="00BA323C" w:rsidP="00BA323C">
            <w:pPr>
              <w:numPr>
                <w:ilvl w:val="0"/>
                <w:numId w:val="23"/>
              </w:numPr>
            </w:pPr>
            <w:r w:rsidRPr="00BA323C">
              <w:rPr>
                <w:b/>
                <w:bCs/>
              </w:rPr>
              <w:t>Reading Summary #2 Due</w:t>
            </w:r>
          </w:p>
        </w:tc>
      </w:tr>
      <w:tr w:rsidR="00BA323C" w:rsidRPr="00BA323C" w14:paraId="636F42CE" w14:textId="77777777" w:rsidTr="00BA323C">
        <w:trPr>
          <w:trHeight w:val="1967"/>
        </w:trPr>
        <w:tc>
          <w:tcPr>
            <w:tcW w:w="1170" w:type="dxa"/>
            <w:tcMar>
              <w:top w:w="30" w:type="dxa"/>
              <w:left w:w="30" w:type="dxa"/>
              <w:bottom w:w="30" w:type="dxa"/>
              <w:right w:w="30" w:type="dxa"/>
            </w:tcMar>
            <w:vAlign w:val="center"/>
            <w:hideMark/>
          </w:tcPr>
          <w:p w14:paraId="746E9BBF" w14:textId="77777777" w:rsidR="00BA323C" w:rsidRPr="00BA323C" w:rsidRDefault="00BA323C" w:rsidP="00BA323C">
            <w:r w:rsidRPr="00BA323C">
              <w:t>5</w:t>
            </w:r>
          </w:p>
        </w:tc>
        <w:tc>
          <w:tcPr>
            <w:tcW w:w="810" w:type="dxa"/>
            <w:tcMar>
              <w:top w:w="30" w:type="dxa"/>
              <w:left w:w="30" w:type="dxa"/>
              <w:bottom w:w="30" w:type="dxa"/>
              <w:right w:w="30" w:type="dxa"/>
            </w:tcMar>
            <w:vAlign w:val="center"/>
            <w:hideMark/>
          </w:tcPr>
          <w:p w14:paraId="5259F123" w14:textId="77777777" w:rsidR="00BA323C" w:rsidRPr="00BA323C" w:rsidRDefault="00BA323C" w:rsidP="00BA323C">
            <w:r w:rsidRPr="00BA323C">
              <w:t>2/5</w:t>
            </w:r>
          </w:p>
        </w:tc>
        <w:tc>
          <w:tcPr>
            <w:tcW w:w="2880" w:type="dxa"/>
            <w:tcMar>
              <w:top w:w="30" w:type="dxa"/>
              <w:left w:w="30" w:type="dxa"/>
              <w:bottom w:w="30" w:type="dxa"/>
              <w:right w:w="30" w:type="dxa"/>
            </w:tcMar>
            <w:vAlign w:val="center"/>
            <w:hideMark/>
          </w:tcPr>
          <w:p w14:paraId="5F84A434" w14:textId="77777777" w:rsidR="00BA323C" w:rsidRPr="00BA323C" w:rsidRDefault="00BA323C" w:rsidP="00BA323C">
            <w:proofErr w:type="gramStart"/>
            <w:r w:rsidRPr="00BA323C">
              <w:rPr>
                <w:b/>
                <w:bCs/>
              </w:rPr>
              <w:t>Siting</w:t>
            </w:r>
            <w:proofErr w:type="gramEnd"/>
            <w:r w:rsidRPr="00BA323C">
              <w:rPr>
                <w:b/>
                <w:bCs/>
              </w:rPr>
              <w:t>, Land Control, Prelim Engineering</w:t>
            </w:r>
          </w:p>
          <w:p w14:paraId="7E9C4C95" w14:textId="77777777" w:rsidR="00BA323C" w:rsidRPr="00BA323C" w:rsidRDefault="00BA323C" w:rsidP="00BA323C">
            <w:r w:rsidRPr="00BA323C">
              <w:rPr>
                <w:i/>
                <w:iCs/>
              </w:rPr>
              <w:t>Instructor: Scott Starr</w:t>
            </w:r>
            <w:r w:rsidRPr="00BA323C">
              <w:rPr>
                <w:i/>
                <w:iCs/>
              </w:rPr>
              <w:br/>
              <w:t>Guest Speaker: Dan Band, Terraform Power</w:t>
            </w:r>
          </w:p>
        </w:tc>
        <w:tc>
          <w:tcPr>
            <w:tcW w:w="14338" w:type="dxa"/>
            <w:tcMar>
              <w:top w:w="30" w:type="dxa"/>
              <w:left w:w="30" w:type="dxa"/>
              <w:bottom w:w="30" w:type="dxa"/>
              <w:right w:w="30" w:type="dxa"/>
            </w:tcMar>
            <w:vAlign w:val="center"/>
            <w:hideMark/>
          </w:tcPr>
          <w:p w14:paraId="4D32ED55" w14:textId="77777777" w:rsidR="00BA323C" w:rsidRPr="00BA323C" w:rsidRDefault="00BA323C" w:rsidP="00BA323C">
            <w:pPr>
              <w:numPr>
                <w:ilvl w:val="0"/>
                <w:numId w:val="24"/>
              </w:numPr>
            </w:pPr>
            <w:r w:rsidRPr="00BA323C">
              <w:t>Solar Energy Industries Association (SEIA): Guide to Land Leases for Solar</w:t>
            </w:r>
          </w:p>
          <w:p w14:paraId="35C7C3CD" w14:textId="77777777" w:rsidR="00BA323C" w:rsidRPr="00BA323C" w:rsidRDefault="00BA323C" w:rsidP="00BA323C">
            <w:pPr>
              <w:numPr>
                <w:ilvl w:val="0"/>
                <w:numId w:val="24"/>
              </w:numPr>
            </w:pPr>
            <w:r w:rsidRPr="00BA323C">
              <w:t>Broker’s Guide: How to Find a Suitable Solar Site</w:t>
            </w:r>
          </w:p>
          <w:p w14:paraId="4BAF54DB" w14:textId="77777777" w:rsidR="00BA323C" w:rsidRPr="00BA323C" w:rsidRDefault="00BA323C" w:rsidP="00BA323C">
            <w:pPr>
              <w:numPr>
                <w:ilvl w:val="0"/>
                <w:numId w:val="24"/>
              </w:numPr>
            </w:pPr>
            <w:r w:rsidRPr="00BA323C">
              <w:t>Realtors Land Institute: The Top Three Real Estate Title Issues Realtors Need to Know</w:t>
            </w:r>
          </w:p>
          <w:p w14:paraId="2057370B" w14:textId="77777777" w:rsidR="00BA323C" w:rsidRPr="00BA323C" w:rsidRDefault="00BA323C" w:rsidP="00BA323C">
            <w:pPr>
              <w:numPr>
                <w:ilvl w:val="0"/>
                <w:numId w:val="24"/>
              </w:numPr>
            </w:pPr>
            <w:proofErr w:type="spellStart"/>
            <w:r w:rsidRPr="00BA323C">
              <w:t>Klavens</w:t>
            </w:r>
            <w:proofErr w:type="spellEnd"/>
            <w:r w:rsidRPr="00BA323C">
              <w:t xml:space="preserve"> Law Group: Know Your Title - Managing Real Estate Title Risks in Project Development</w:t>
            </w:r>
          </w:p>
          <w:p w14:paraId="4CE76089" w14:textId="77777777" w:rsidR="00BA323C" w:rsidRPr="00BA323C" w:rsidRDefault="00BA323C" w:rsidP="00BA323C">
            <w:pPr>
              <w:numPr>
                <w:ilvl w:val="0"/>
                <w:numId w:val="24"/>
              </w:numPr>
            </w:pPr>
            <w:r w:rsidRPr="00BA323C">
              <w:rPr>
                <w:b/>
                <w:bCs/>
              </w:rPr>
              <w:t>Reading Summary #3 Due</w:t>
            </w:r>
          </w:p>
        </w:tc>
      </w:tr>
      <w:tr w:rsidR="00BA323C" w:rsidRPr="00BA323C" w14:paraId="0F69044D" w14:textId="77777777" w:rsidTr="00BA323C">
        <w:trPr>
          <w:trHeight w:val="1697"/>
        </w:trPr>
        <w:tc>
          <w:tcPr>
            <w:tcW w:w="1170" w:type="dxa"/>
            <w:tcMar>
              <w:top w:w="30" w:type="dxa"/>
              <w:left w:w="30" w:type="dxa"/>
              <w:bottom w:w="30" w:type="dxa"/>
              <w:right w:w="30" w:type="dxa"/>
            </w:tcMar>
            <w:vAlign w:val="center"/>
            <w:hideMark/>
          </w:tcPr>
          <w:p w14:paraId="3E62CD46" w14:textId="77777777" w:rsidR="00BA323C" w:rsidRPr="00BA323C" w:rsidRDefault="00BA323C" w:rsidP="00BA323C">
            <w:r w:rsidRPr="00BA323C">
              <w:t>6</w:t>
            </w:r>
          </w:p>
        </w:tc>
        <w:tc>
          <w:tcPr>
            <w:tcW w:w="810" w:type="dxa"/>
            <w:tcMar>
              <w:top w:w="30" w:type="dxa"/>
              <w:left w:w="30" w:type="dxa"/>
              <w:bottom w:w="30" w:type="dxa"/>
              <w:right w:w="30" w:type="dxa"/>
            </w:tcMar>
            <w:vAlign w:val="center"/>
            <w:hideMark/>
          </w:tcPr>
          <w:p w14:paraId="6F69DA9B" w14:textId="77777777" w:rsidR="00BA323C" w:rsidRPr="00BA323C" w:rsidRDefault="00BA323C" w:rsidP="00BA323C">
            <w:r w:rsidRPr="00BA323C">
              <w:t>2/12</w:t>
            </w:r>
          </w:p>
        </w:tc>
        <w:tc>
          <w:tcPr>
            <w:tcW w:w="2880" w:type="dxa"/>
            <w:tcMar>
              <w:top w:w="30" w:type="dxa"/>
              <w:left w:w="30" w:type="dxa"/>
              <w:bottom w:w="30" w:type="dxa"/>
              <w:right w:w="30" w:type="dxa"/>
            </w:tcMar>
            <w:vAlign w:val="center"/>
            <w:hideMark/>
          </w:tcPr>
          <w:p w14:paraId="4AF466E4" w14:textId="77777777" w:rsidR="00BA323C" w:rsidRPr="00BA323C" w:rsidRDefault="00BA323C" w:rsidP="00BA323C">
            <w:r w:rsidRPr="00BA323C">
              <w:rPr>
                <w:b/>
                <w:bCs/>
              </w:rPr>
              <w:t>Interconnection &amp; Energy Markets</w:t>
            </w:r>
          </w:p>
          <w:p w14:paraId="1D1C18F7" w14:textId="77777777" w:rsidR="00BA323C" w:rsidRPr="00BA323C" w:rsidRDefault="00BA323C" w:rsidP="00BA323C">
            <w:r w:rsidRPr="00BA323C">
              <w:rPr>
                <w:i/>
                <w:iCs/>
              </w:rPr>
              <w:t>Instructor: Adam Medoff</w:t>
            </w:r>
            <w:r w:rsidRPr="00BA323C">
              <w:rPr>
                <w:i/>
                <w:iCs/>
              </w:rPr>
              <w:br/>
              <w:t>Guest Speaker: TBD</w:t>
            </w:r>
          </w:p>
        </w:tc>
        <w:tc>
          <w:tcPr>
            <w:tcW w:w="14338" w:type="dxa"/>
            <w:tcMar>
              <w:top w:w="30" w:type="dxa"/>
              <w:left w:w="30" w:type="dxa"/>
              <w:bottom w:w="30" w:type="dxa"/>
              <w:right w:w="30" w:type="dxa"/>
            </w:tcMar>
            <w:vAlign w:val="center"/>
            <w:hideMark/>
          </w:tcPr>
          <w:p w14:paraId="59F670EE" w14:textId="77777777" w:rsidR="00BA323C" w:rsidRPr="00BA323C" w:rsidRDefault="00BA323C" w:rsidP="00BA323C">
            <w:pPr>
              <w:numPr>
                <w:ilvl w:val="0"/>
                <w:numId w:val="25"/>
              </w:numPr>
            </w:pPr>
            <w:r w:rsidRPr="00BA323C">
              <w:t>Sandia National Laboratories: Utility-Scale Photovoltaic Procedures and Interconnection Requirements (pages 18-26)</w:t>
            </w:r>
          </w:p>
          <w:p w14:paraId="5E5732F3" w14:textId="77777777" w:rsidR="00BA323C" w:rsidRPr="00BA323C" w:rsidRDefault="00BA323C" w:rsidP="00BA323C">
            <w:pPr>
              <w:numPr>
                <w:ilvl w:val="0"/>
                <w:numId w:val="25"/>
              </w:numPr>
            </w:pPr>
            <w:r w:rsidRPr="00BA323C">
              <w:t>FERC: Explainer on the Interconnection Final Rule Order No. 2023</w:t>
            </w:r>
          </w:p>
          <w:p w14:paraId="524A81F9" w14:textId="77777777" w:rsidR="00BA323C" w:rsidRPr="00BA323C" w:rsidRDefault="00BA323C" w:rsidP="00BA323C">
            <w:pPr>
              <w:numPr>
                <w:ilvl w:val="0"/>
                <w:numId w:val="25"/>
              </w:numPr>
            </w:pPr>
            <w:r w:rsidRPr="00BA323C">
              <w:rPr>
                <w:b/>
                <w:bCs/>
              </w:rPr>
              <w:t xml:space="preserve">Assignment #1 </w:t>
            </w:r>
            <w:proofErr w:type="gramStart"/>
            <w:r w:rsidRPr="00BA323C">
              <w:rPr>
                <w:b/>
                <w:bCs/>
              </w:rPr>
              <w:t>Due @</w:t>
            </w:r>
            <w:proofErr w:type="gramEnd"/>
            <w:r w:rsidRPr="00BA323C">
              <w:rPr>
                <w:b/>
                <w:bCs/>
              </w:rPr>
              <w:t xml:space="preserve"> 11:59pm the day before class</w:t>
            </w:r>
          </w:p>
        </w:tc>
      </w:tr>
      <w:tr w:rsidR="00BA323C" w:rsidRPr="00BA323C" w14:paraId="2BA811C5" w14:textId="77777777" w:rsidTr="00BA323C">
        <w:trPr>
          <w:trHeight w:val="1697"/>
        </w:trPr>
        <w:tc>
          <w:tcPr>
            <w:tcW w:w="1170" w:type="dxa"/>
            <w:tcMar>
              <w:top w:w="30" w:type="dxa"/>
              <w:left w:w="30" w:type="dxa"/>
              <w:bottom w:w="30" w:type="dxa"/>
              <w:right w:w="30" w:type="dxa"/>
            </w:tcMar>
            <w:vAlign w:val="center"/>
            <w:hideMark/>
          </w:tcPr>
          <w:p w14:paraId="4AD6C574" w14:textId="77777777" w:rsidR="00BA323C" w:rsidRPr="00BA323C" w:rsidRDefault="00BA323C" w:rsidP="00BA323C">
            <w:r w:rsidRPr="00BA323C">
              <w:t>7</w:t>
            </w:r>
          </w:p>
        </w:tc>
        <w:tc>
          <w:tcPr>
            <w:tcW w:w="810" w:type="dxa"/>
            <w:tcMar>
              <w:top w:w="30" w:type="dxa"/>
              <w:left w:w="30" w:type="dxa"/>
              <w:bottom w:w="30" w:type="dxa"/>
              <w:right w:w="30" w:type="dxa"/>
            </w:tcMar>
            <w:vAlign w:val="center"/>
            <w:hideMark/>
          </w:tcPr>
          <w:p w14:paraId="2C61D7EC" w14:textId="77777777" w:rsidR="00BA323C" w:rsidRPr="00BA323C" w:rsidRDefault="00BA323C" w:rsidP="00BA323C">
            <w:r w:rsidRPr="00BA323C">
              <w:t>2/19</w:t>
            </w:r>
          </w:p>
        </w:tc>
        <w:tc>
          <w:tcPr>
            <w:tcW w:w="2880" w:type="dxa"/>
            <w:tcMar>
              <w:top w:w="30" w:type="dxa"/>
              <w:left w:w="30" w:type="dxa"/>
              <w:bottom w:w="30" w:type="dxa"/>
              <w:right w:w="30" w:type="dxa"/>
            </w:tcMar>
            <w:vAlign w:val="center"/>
            <w:hideMark/>
          </w:tcPr>
          <w:p w14:paraId="40A537F9" w14:textId="77777777" w:rsidR="00BA323C" w:rsidRPr="00BA323C" w:rsidRDefault="00BA323C" w:rsidP="00BA323C">
            <w:r w:rsidRPr="00BA323C">
              <w:rPr>
                <w:b/>
                <w:bCs/>
              </w:rPr>
              <w:t>Land Use Permitting</w:t>
            </w:r>
          </w:p>
          <w:p w14:paraId="1D6130FD" w14:textId="77777777" w:rsidR="00BA323C" w:rsidRPr="00BA323C" w:rsidRDefault="00BA323C" w:rsidP="00BA323C">
            <w:r w:rsidRPr="00BA323C">
              <w:rPr>
                <w:i/>
                <w:iCs/>
              </w:rPr>
              <w:t>Instructor: Adam Medoff</w:t>
            </w:r>
            <w:r w:rsidRPr="00BA323C">
              <w:rPr>
                <w:i/>
                <w:iCs/>
              </w:rPr>
              <w:br/>
              <w:t>Guest Speaker: Ian Moskal, Lydian Energy</w:t>
            </w:r>
          </w:p>
        </w:tc>
        <w:tc>
          <w:tcPr>
            <w:tcW w:w="14338" w:type="dxa"/>
            <w:tcMar>
              <w:top w:w="30" w:type="dxa"/>
              <w:left w:w="30" w:type="dxa"/>
              <w:bottom w:w="30" w:type="dxa"/>
              <w:right w:w="30" w:type="dxa"/>
            </w:tcMar>
            <w:vAlign w:val="center"/>
            <w:hideMark/>
          </w:tcPr>
          <w:p w14:paraId="34A1121B" w14:textId="77777777" w:rsidR="00BA323C" w:rsidRPr="00BA323C" w:rsidRDefault="00BA323C" w:rsidP="00BA323C">
            <w:pPr>
              <w:numPr>
                <w:ilvl w:val="0"/>
                <w:numId w:val="26"/>
              </w:numPr>
            </w:pPr>
            <w:r w:rsidRPr="00BA323C">
              <w:t>Town of Farmville Solar Overlay District</w:t>
            </w:r>
          </w:p>
          <w:p w14:paraId="2240787E" w14:textId="77777777" w:rsidR="00BA323C" w:rsidRPr="00BA323C" w:rsidRDefault="00BA323C" w:rsidP="00BA323C">
            <w:pPr>
              <w:numPr>
                <w:ilvl w:val="0"/>
                <w:numId w:val="26"/>
              </w:numPr>
            </w:pPr>
            <w:r w:rsidRPr="00BA323C">
              <w:t>A Battle is Raging Over the Largest Solar Farm East of the Rockies - NPR</w:t>
            </w:r>
          </w:p>
          <w:p w14:paraId="1E5B35B8" w14:textId="77777777" w:rsidR="00BA323C" w:rsidRPr="00BA323C" w:rsidRDefault="00BA323C" w:rsidP="00BA323C">
            <w:pPr>
              <w:numPr>
                <w:ilvl w:val="0"/>
                <w:numId w:val="26"/>
              </w:numPr>
            </w:pPr>
            <w:r w:rsidRPr="00BA323C">
              <w:t>Concerned Citizens of Spotsylvania Website</w:t>
            </w:r>
          </w:p>
          <w:p w14:paraId="2C28934F" w14:textId="77777777" w:rsidR="00BA323C" w:rsidRPr="00BA323C" w:rsidRDefault="00BA323C" w:rsidP="00BA323C">
            <w:pPr>
              <w:numPr>
                <w:ilvl w:val="0"/>
                <w:numId w:val="26"/>
              </w:numPr>
            </w:pPr>
            <w:r w:rsidRPr="00BA323C">
              <w:rPr>
                <w:b/>
                <w:bCs/>
              </w:rPr>
              <w:t>Reading Summary #4 Due</w:t>
            </w:r>
          </w:p>
        </w:tc>
      </w:tr>
      <w:tr w:rsidR="00BA323C" w:rsidRPr="00BA323C" w14:paraId="47A6E3C8" w14:textId="77777777" w:rsidTr="00BA323C">
        <w:trPr>
          <w:trHeight w:val="1697"/>
        </w:trPr>
        <w:tc>
          <w:tcPr>
            <w:tcW w:w="1170" w:type="dxa"/>
            <w:tcMar>
              <w:top w:w="30" w:type="dxa"/>
              <w:left w:w="30" w:type="dxa"/>
              <w:bottom w:w="30" w:type="dxa"/>
              <w:right w:w="30" w:type="dxa"/>
            </w:tcMar>
            <w:vAlign w:val="center"/>
            <w:hideMark/>
          </w:tcPr>
          <w:p w14:paraId="69BE84C3" w14:textId="77777777" w:rsidR="00BA323C" w:rsidRPr="00BA323C" w:rsidRDefault="00BA323C" w:rsidP="00BA323C">
            <w:r w:rsidRPr="00BA323C">
              <w:lastRenderedPageBreak/>
              <w:t>8</w:t>
            </w:r>
          </w:p>
        </w:tc>
        <w:tc>
          <w:tcPr>
            <w:tcW w:w="810" w:type="dxa"/>
            <w:tcMar>
              <w:top w:w="30" w:type="dxa"/>
              <w:left w:w="30" w:type="dxa"/>
              <w:bottom w:w="30" w:type="dxa"/>
              <w:right w:w="30" w:type="dxa"/>
            </w:tcMar>
            <w:vAlign w:val="center"/>
            <w:hideMark/>
          </w:tcPr>
          <w:p w14:paraId="4CF810A5" w14:textId="77777777" w:rsidR="00BA323C" w:rsidRPr="00BA323C" w:rsidRDefault="00BA323C" w:rsidP="00BA323C">
            <w:r w:rsidRPr="00BA323C">
              <w:t>2/26</w:t>
            </w:r>
          </w:p>
        </w:tc>
        <w:tc>
          <w:tcPr>
            <w:tcW w:w="2880" w:type="dxa"/>
            <w:tcMar>
              <w:top w:w="30" w:type="dxa"/>
              <w:left w:w="30" w:type="dxa"/>
              <w:bottom w:w="30" w:type="dxa"/>
              <w:right w:w="30" w:type="dxa"/>
            </w:tcMar>
            <w:vAlign w:val="center"/>
            <w:hideMark/>
          </w:tcPr>
          <w:p w14:paraId="63A361AE" w14:textId="77777777" w:rsidR="00BA323C" w:rsidRPr="00BA323C" w:rsidRDefault="00BA323C" w:rsidP="00BA323C">
            <w:r w:rsidRPr="00BA323C">
              <w:rPr>
                <w:b/>
                <w:bCs/>
              </w:rPr>
              <w:t xml:space="preserve">Offtake (PPAs, Community Solar, </w:t>
            </w:r>
            <w:proofErr w:type="spellStart"/>
            <w:r w:rsidRPr="00BA323C">
              <w:rPr>
                <w:b/>
                <w:bCs/>
              </w:rPr>
              <w:t>etc</w:t>
            </w:r>
            <w:proofErr w:type="spellEnd"/>
            <w:r w:rsidRPr="00BA323C">
              <w:rPr>
                <w:b/>
                <w:bCs/>
              </w:rPr>
              <w:t>)</w:t>
            </w:r>
          </w:p>
          <w:p w14:paraId="0DE744F4" w14:textId="77777777" w:rsidR="00BA323C" w:rsidRPr="00BA323C" w:rsidRDefault="00BA323C" w:rsidP="00BA323C">
            <w:r w:rsidRPr="00BA323C">
              <w:rPr>
                <w:i/>
                <w:iCs/>
              </w:rPr>
              <w:t>Instructor: Rory Huntly</w:t>
            </w:r>
            <w:r w:rsidRPr="00BA323C">
              <w:rPr>
                <w:i/>
                <w:iCs/>
              </w:rPr>
              <w:br/>
              <w:t>Guest Speaker: Peter Stein, Headwater Energy</w:t>
            </w:r>
          </w:p>
        </w:tc>
        <w:tc>
          <w:tcPr>
            <w:tcW w:w="14338" w:type="dxa"/>
            <w:tcMar>
              <w:top w:w="30" w:type="dxa"/>
              <w:left w:w="30" w:type="dxa"/>
              <w:bottom w:w="30" w:type="dxa"/>
              <w:right w:w="30" w:type="dxa"/>
            </w:tcMar>
            <w:vAlign w:val="center"/>
            <w:hideMark/>
          </w:tcPr>
          <w:p w14:paraId="7C4CF7F7" w14:textId="77777777" w:rsidR="00BA323C" w:rsidRPr="00BA323C" w:rsidRDefault="00BA323C" w:rsidP="00BA323C">
            <w:pPr>
              <w:numPr>
                <w:ilvl w:val="0"/>
                <w:numId w:val="27"/>
              </w:numPr>
            </w:pPr>
            <w:r w:rsidRPr="00BA323C">
              <w:t>Introduction to Virtual Power Purchase Agreements for Corporations</w:t>
            </w:r>
          </w:p>
          <w:p w14:paraId="2FD1A8D5" w14:textId="77777777" w:rsidR="00BA323C" w:rsidRPr="00BA323C" w:rsidRDefault="00BA323C" w:rsidP="00BA323C">
            <w:pPr>
              <w:numPr>
                <w:ilvl w:val="0"/>
                <w:numId w:val="27"/>
              </w:numPr>
            </w:pPr>
            <w:r w:rsidRPr="00BA323C">
              <w:t>Overseas Private Investment Corporation (OPIC): Important Features of Bankable Power Purchase Agreements for Renewable Energy Power Projects</w:t>
            </w:r>
          </w:p>
          <w:p w14:paraId="1946AEA6" w14:textId="77777777" w:rsidR="00BA323C" w:rsidRPr="00BA323C" w:rsidRDefault="00BA323C" w:rsidP="00BA323C">
            <w:pPr>
              <w:numPr>
                <w:ilvl w:val="0"/>
                <w:numId w:val="27"/>
              </w:numPr>
            </w:pPr>
            <w:r w:rsidRPr="00BA323C">
              <w:rPr>
                <w:b/>
                <w:bCs/>
              </w:rPr>
              <w:t>Assignment #2 Due</w:t>
            </w:r>
            <w:r w:rsidRPr="00BA323C">
              <w:t> </w:t>
            </w:r>
            <w:r w:rsidRPr="00BA323C">
              <w:rPr>
                <w:b/>
                <w:bCs/>
              </w:rPr>
              <w:t>@ 11:59pm the day before class</w:t>
            </w:r>
          </w:p>
        </w:tc>
      </w:tr>
      <w:tr w:rsidR="00BA323C" w:rsidRPr="00BA323C" w14:paraId="56E3C44C" w14:textId="77777777" w:rsidTr="00BA323C">
        <w:trPr>
          <w:trHeight w:val="1322"/>
        </w:trPr>
        <w:tc>
          <w:tcPr>
            <w:tcW w:w="1170" w:type="dxa"/>
            <w:tcMar>
              <w:top w:w="30" w:type="dxa"/>
              <w:left w:w="30" w:type="dxa"/>
              <w:bottom w:w="30" w:type="dxa"/>
              <w:right w:w="30" w:type="dxa"/>
            </w:tcMar>
            <w:vAlign w:val="center"/>
            <w:hideMark/>
          </w:tcPr>
          <w:p w14:paraId="687D4273" w14:textId="77777777" w:rsidR="00BA323C" w:rsidRPr="00BA323C" w:rsidRDefault="00BA323C" w:rsidP="00BA323C">
            <w:r w:rsidRPr="00BA323C">
              <w:t>9</w:t>
            </w:r>
          </w:p>
        </w:tc>
        <w:tc>
          <w:tcPr>
            <w:tcW w:w="810" w:type="dxa"/>
            <w:tcMar>
              <w:top w:w="30" w:type="dxa"/>
              <w:left w:w="30" w:type="dxa"/>
              <w:bottom w:w="30" w:type="dxa"/>
              <w:right w:w="30" w:type="dxa"/>
            </w:tcMar>
            <w:vAlign w:val="center"/>
            <w:hideMark/>
          </w:tcPr>
          <w:p w14:paraId="286B2AF8" w14:textId="77777777" w:rsidR="00BA323C" w:rsidRPr="00BA323C" w:rsidRDefault="00BA323C" w:rsidP="00BA323C">
            <w:r w:rsidRPr="00BA323C">
              <w:t>3/5</w:t>
            </w:r>
          </w:p>
        </w:tc>
        <w:tc>
          <w:tcPr>
            <w:tcW w:w="2880" w:type="dxa"/>
            <w:tcMar>
              <w:top w:w="30" w:type="dxa"/>
              <w:left w:w="30" w:type="dxa"/>
              <w:bottom w:w="30" w:type="dxa"/>
              <w:right w:w="30" w:type="dxa"/>
            </w:tcMar>
            <w:vAlign w:val="center"/>
            <w:hideMark/>
          </w:tcPr>
          <w:p w14:paraId="325C22DE" w14:textId="77777777" w:rsidR="00BA323C" w:rsidRPr="00BA323C" w:rsidRDefault="00BA323C" w:rsidP="00BA323C">
            <w:r w:rsidRPr="00BA323C">
              <w:rPr>
                <w:b/>
                <w:bCs/>
              </w:rPr>
              <w:t>Project Finance &amp; Modeling</w:t>
            </w:r>
          </w:p>
          <w:p w14:paraId="13B27006" w14:textId="77777777" w:rsidR="00BA323C" w:rsidRPr="00BA323C" w:rsidRDefault="00BA323C" w:rsidP="00BA323C">
            <w:r w:rsidRPr="00BA323C">
              <w:rPr>
                <w:i/>
                <w:iCs/>
              </w:rPr>
              <w:t>Instructor: Rory Huntly</w:t>
            </w:r>
          </w:p>
        </w:tc>
        <w:tc>
          <w:tcPr>
            <w:tcW w:w="14338" w:type="dxa"/>
            <w:tcMar>
              <w:top w:w="30" w:type="dxa"/>
              <w:left w:w="30" w:type="dxa"/>
              <w:bottom w:w="30" w:type="dxa"/>
              <w:right w:w="30" w:type="dxa"/>
            </w:tcMar>
            <w:vAlign w:val="center"/>
            <w:hideMark/>
          </w:tcPr>
          <w:p w14:paraId="3F8053B2" w14:textId="77777777" w:rsidR="00BA323C" w:rsidRPr="00BA323C" w:rsidRDefault="00BA323C" w:rsidP="00BA323C">
            <w:pPr>
              <w:numPr>
                <w:ilvl w:val="0"/>
                <w:numId w:val="28"/>
              </w:numPr>
            </w:pPr>
            <w:r w:rsidRPr="00BA323C">
              <w:t>Renewable Energy M&amp;A – R. Huntly</w:t>
            </w:r>
          </w:p>
          <w:p w14:paraId="3917B260" w14:textId="77777777" w:rsidR="00BA323C" w:rsidRPr="00BA323C" w:rsidRDefault="00BA323C" w:rsidP="00BA323C">
            <w:pPr>
              <w:numPr>
                <w:ilvl w:val="0"/>
                <w:numId w:val="28"/>
              </w:numPr>
            </w:pPr>
            <w:r w:rsidRPr="00BA323C">
              <w:t xml:space="preserve">Project Finance Primer for Renewable Energy </w:t>
            </w:r>
            <w:proofErr w:type="spellStart"/>
            <w:r w:rsidRPr="00BA323C">
              <w:t>Projects_WSGR</w:t>
            </w:r>
            <w:proofErr w:type="spellEnd"/>
            <w:r w:rsidRPr="00BA323C">
              <w:t xml:space="preserve"> Law Firm</w:t>
            </w:r>
          </w:p>
          <w:p w14:paraId="5D22D721" w14:textId="77777777" w:rsidR="00BA323C" w:rsidRPr="00BA323C" w:rsidRDefault="00BA323C" w:rsidP="00BA323C">
            <w:pPr>
              <w:numPr>
                <w:ilvl w:val="0"/>
                <w:numId w:val="28"/>
              </w:numPr>
            </w:pPr>
            <w:r w:rsidRPr="00BA323C">
              <w:t xml:space="preserve">Cost of Capital_2024 </w:t>
            </w:r>
            <w:proofErr w:type="spellStart"/>
            <w:r w:rsidRPr="00BA323C">
              <w:t>Outlook_Norton</w:t>
            </w:r>
            <w:proofErr w:type="spellEnd"/>
            <w:r w:rsidRPr="00BA323C">
              <w:t xml:space="preserve"> Rose Fulbright - February 2024</w:t>
            </w:r>
          </w:p>
          <w:p w14:paraId="1CA3E70E" w14:textId="77777777" w:rsidR="00BA323C" w:rsidRPr="00BA323C" w:rsidRDefault="00BA323C" w:rsidP="00BA323C">
            <w:pPr>
              <w:numPr>
                <w:ilvl w:val="0"/>
                <w:numId w:val="28"/>
              </w:numPr>
            </w:pPr>
            <w:r w:rsidRPr="00BA323C">
              <w:rPr>
                <w:b/>
                <w:bCs/>
              </w:rPr>
              <w:t>Reading Summary #5 Due</w:t>
            </w:r>
          </w:p>
        </w:tc>
      </w:tr>
      <w:tr w:rsidR="00BA323C" w:rsidRPr="00BA323C" w14:paraId="5F097D4D" w14:textId="77777777" w:rsidTr="00BA323C">
        <w:trPr>
          <w:trHeight w:val="798"/>
        </w:trPr>
        <w:tc>
          <w:tcPr>
            <w:tcW w:w="1170" w:type="dxa"/>
            <w:tcMar>
              <w:top w:w="30" w:type="dxa"/>
              <w:left w:w="30" w:type="dxa"/>
              <w:bottom w:w="30" w:type="dxa"/>
              <w:right w:w="30" w:type="dxa"/>
            </w:tcMar>
            <w:vAlign w:val="center"/>
            <w:hideMark/>
          </w:tcPr>
          <w:p w14:paraId="7AEE8AFF" w14:textId="77777777" w:rsidR="00BA323C" w:rsidRPr="00BA323C" w:rsidRDefault="00BA323C" w:rsidP="00BA323C">
            <w:r w:rsidRPr="00BA323C">
              <w:t> </w:t>
            </w:r>
          </w:p>
        </w:tc>
        <w:tc>
          <w:tcPr>
            <w:tcW w:w="810" w:type="dxa"/>
            <w:tcMar>
              <w:top w:w="30" w:type="dxa"/>
              <w:left w:w="30" w:type="dxa"/>
              <w:bottom w:w="30" w:type="dxa"/>
              <w:right w:w="30" w:type="dxa"/>
            </w:tcMar>
            <w:vAlign w:val="center"/>
            <w:hideMark/>
          </w:tcPr>
          <w:p w14:paraId="2C574E5A" w14:textId="77777777" w:rsidR="00BA323C" w:rsidRPr="00BA323C" w:rsidRDefault="00BA323C" w:rsidP="00BA323C">
            <w:r w:rsidRPr="00BA323C">
              <w:t>3/12</w:t>
            </w:r>
          </w:p>
        </w:tc>
        <w:tc>
          <w:tcPr>
            <w:tcW w:w="2880" w:type="dxa"/>
            <w:tcMar>
              <w:top w:w="30" w:type="dxa"/>
              <w:left w:w="30" w:type="dxa"/>
              <w:bottom w:w="30" w:type="dxa"/>
              <w:right w:w="30" w:type="dxa"/>
            </w:tcMar>
            <w:vAlign w:val="center"/>
            <w:hideMark/>
          </w:tcPr>
          <w:p w14:paraId="2C6593F6" w14:textId="77777777" w:rsidR="00BA323C" w:rsidRPr="00BA323C" w:rsidRDefault="00BA323C" w:rsidP="00BA323C">
            <w:r w:rsidRPr="00BA323C">
              <w:rPr>
                <w:b/>
                <w:bCs/>
              </w:rPr>
              <w:t>No Class - Spring Break</w:t>
            </w:r>
          </w:p>
        </w:tc>
        <w:tc>
          <w:tcPr>
            <w:tcW w:w="14338" w:type="dxa"/>
            <w:tcMar>
              <w:top w:w="30" w:type="dxa"/>
              <w:left w:w="30" w:type="dxa"/>
              <w:bottom w:w="30" w:type="dxa"/>
              <w:right w:w="30" w:type="dxa"/>
            </w:tcMar>
            <w:vAlign w:val="center"/>
            <w:hideMark/>
          </w:tcPr>
          <w:p w14:paraId="4FE9FFDC" w14:textId="77777777" w:rsidR="00BA323C" w:rsidRPr="00BA323C" w:rsidRDefault="00BA323C" w:rsidP="00BA323C"/>
        </w:tc>
      </w:tr>
      <w:tr w:rsidR="00BA323C" w:rsidRPr="00BA323C" w14:paraId="5BBA248C" w14:textId="77777777" w:rsidTr="00BA323C">
        <w:trPr>
          <w:trHeight w:val="1697"/>
        </w:trPr>
        <w:tc>
          <w:tcPr>
            <w:tcW w:w="1170" w:type="dxa"/>
            <w:tcMar>
              <w:top w:w="30" w:type="dxa"/>
              <w:left w:w="30" w:type="dxa"/>
              <w:bottom w:w="30" w:type="dxa"/>
              <w:right w:w="30" w:type="dxa"/>
            </w:tcMar>
            <w:vAlign w:val="center"/>
            <w:hideMark/>
          </w:tcPr>
          <w:p w14:paraId="0A18DFC6" w14:textId="77777777" w:rsidR="00BA323C" w:rsidRPr="00BA323C" w:rsidRDefault="00BA323C" w:rsidP="00BA323C">
            <w:r w:rsidRPr="00BA323C">
              <w:t>10</w:t>
            </w:r>
          </w:p>
        </w:tc>
        <w:tc>
          <w:tcPr>
            <w:tcW w:w="810" w:type="dxa"/>
            <w:tcMar>
              <w:top w:w="30" w:type="dxa"/>
              <w:left w:w="30" w:type="dxa"/>
              <w:bottom w:w="30" w:type="dxa"/>
              <w:right w:w="30" w:type="dxa"/>
            </w:tcMar>
            <w:vAlign w:val="center"/>
            <w:hideMark/>
          </w:tcPr>
          <w:p w14:paraId="774D5883" w14:textId="77777777" w:rsidR="00BA323C" w:rsidRPr="00BA323C" w:rsidRDefault="00BA323C" w:rsidP="00BA323C">
            <w:r w:rsidRPr="00BA323C">
              <w:t>3/19</w:t>
            </w:r>
          </w:p>
        </w:tc>
        <w:tc>
          <w:tcPr>
            <w:tcW w:w="2880" w:type="dxa"/>
            <w:tcMar>
              <w:top w:w="30" w:type="dxa"/>
              <w:left w:w="30" w:type="dxa"/>
              <w:bottom w:w="30" w:type="dxa"/>
              <w:right w:w="30" w:type="dxa"/>
            </w:tcMar>
            <w:vAlign w:val="center"/>
            <w:hideMark/>
          </w:tcPr>
          <w:p w14:paraId="6D499286" w14:textId="77777777" w:rsidR="00BA323C" w:rsidRPr="00BA323C" w:rsidRDefault="00BA323C" w:rsidP="00BA323C">
            <w:r w:rsidRPr="00BA323C">
              <w:rPr>
                <w:b/>
                <w:bCs/>
              </w:rPr>
              <w:t>EPC &amp; Project Management</w:t>
            </w:r>
          </w:p>
          <w:p w14:paraId="3A86FF1D" w14:textId="77777777" w:rsidR="00BA323C" w:rsidRPr="00BA323C" w:rsidRDefault="00BA323C" w:rsidP="00BA323C">
            <w:r w:rsidRPr="00BA323C">
              <w:rPr>
                <w:i/>
                <w:iCs/>
              </w:rPr>
              <w:t>Instructor: Scott Starr</w:t>
            </w:r>
            <w:r w:rsidRPr="00BA323C">
              <w:rPr>
                <w:i/>
                <w:iCs/>
              </w:rPr>
              <w:br/>
              <w:t>Guest Speaker: TBD</w:t>
            </w:r>
          </w:p>
        </w:tc>
        <w:tc>
          <w:tcPr>
            <w:tcW w:w="14338" w:type="dxa"/>
            <w:tcMar>
              <w:top w:w="30" w:type="dxa"/>
              <w:left w:w="30" w:type="dxa"/>
              <w:bottom w:w="30" w:type="dxa"/>
              <w:right w:w="30" w:type="dxa"/>
            </w:tcMar>
            <w:vAlign w:val="center"/>
            <w:hideMark/>
          </w:tcPr>
          <w:p w14:paraId="67F5CCAE" w14:textId="77777777" w:rsidR="00BA323C" w:rsidRPr="00BA323C" w:rsidRDefault="00BA323C" w:rsidP="00BA323C">
            <w:pPr>
              <w:numPr>
                <w:ilvl w:val="0"/>
                <w:numId w:val="29"/>
              </w:numPr>
            </w:pPr>
            <w:r w:rsidRPr="00BA323C">
              <w:rPr>
                <w:b/>
                <w:bCs/>
              </w:rPr>
              <w:t>Assignment #3 Due</w:t>
            </w:r>
            <w:r w:rsidRPr="00BA323C">
              <w:t> </w:t>
            </w:r>
            <w:r w:rsidRPr="00BA323C">
              <w:rPr>
                <w:b/>
                <w:bCs/>
              </w:rPr>
              <w:t>@ 11:59pm the day before class</w:t>
            </w:r>
          </w:p>
        </w:tc>
      </w:tr>
      <w:tr w:rsidR="00BA323C" w:rsidRPr="00BA323C" w14:paraId="7FF6D53F" w14:textId="77777777" w:rsidTr="00BA323C">
        <w:trPr>
          <w:trHeight w:val="1697"/>
        </w:trPr>
        <w:tc>
          <w:tcPr>
            <w:tcW w:w="1170" w:type="dxa"/>
            <w:tcMar>
              <w:top w:w="30" w:type="dxa"/>
              <w:left w:w="30" w:type="dxa"/>
              <w:bottom w:w="30" w:type="dxa"/>
              <w:right w:w="30" w:type="dxa"/>
            </w:tcMar>
            <w:vAlign w:val="center"/>
            <w:hideMark/>
          </w:tcPr>
          <w:p w14:paraId="0F18F9EF" w14:textId="77777777" w:rsidR="00BA323C" w:rsidRPr="00BA323C" w:rsidRDefault="00BA323C" w:rsidP="00BA323C">
            <w:r w:rsidRPr="00BA323C">
              <w:t>11</w:t>
            </w:r>
          </w:p>
        </w:tc>
        <w:tc>
          <w:tcPr>
            <w:tcW w:w="810" w:type="dxa"/>
            <w:tcMar>
              <w:top w:w="30" w:type="dxa"/>
              <w:left w:w="30" w:type="dxa"/>
              <w:bottom w:w="30" w:type="dxa"/>
              <w:right w:w="30" w:type="dxa"/>
            </w:tcMar>
            <w:vAlign w:val="center"/>
            <w:hideMark/>
          </w:tcPr>
          <w:p w14:paraId="4C390EF4" w14:textId="77777777" w:rsidR="00BA323C" w:rsidRPr="00BA323C" w:rsidRDefault="00BA323C" w:rsidP="00BA323C">
            <w:r w:rsidRPr="00BA323C">
              <w:t>3/26</w:t>
            </w:r>
          </w:p>
        </w:tc>
        <w:tc>
          <w:tcPr>
            <w:tcW w:w="2880" w:type="dxa"/>
            <w:tcMar>
              <w:top w:w="30" w:type="dxa"/>
              <w:left w:w="30" w:type="dxa"/>
              <w:bottom w:w="30" w:type="dxa"/>
              <w:right w:w="30" w:type="dxa"/>
            </w:tcMar>
            <w:vAlign w:val="center"/>
            <w:hideMark/>
          </w:tcPr>
          <w:p w14:paraId="43FF8B45" w14:textId="77777777" w:rsidR="00BA323C" w:rsidRPr="00BA323C" w:rsidRDefault="00BA323C" w:rsidP="00BA323C">
            <w:r w:rsidRPr="00BA323C">
              <w:rPr>
                <w:b/>
                <w:bCs/>
              </w:rPr>
              <w:t>Battery Energy Storage Systems (BESS) </w:t>
            </w:r>
          </w:p>
          <w:p w14:paraId="3D8EADBC" w14:textId="77777777" w:rsidR="00BA323C" w:rsidRPr="00BA323C" w:rsidRDefault="00BA323C" w:rsidP="00BA323C">
            <w:r w:rsidRPr="00BA323C">
              <w:rPr>
                <w:i/>
                <w:iCs/>
              </w:rPr>
              <w:t>Instructor: Adam Medoff</w:t>
            </w:r>
            <w:r w:rsidRPr="00BA323C">
              <w:rPr>
                <w:i/>
                <w:iCs/>
              </w:rPr>
              <w:br/>
              <w:t>Guest Speaker: TBD</w:t>
            </w:r>
          </w:p>
        </w:tc>
        <w:tc>
          <w:tcPr>
            <w:tcW w:w="14338" w:type="dxa"/>
            <w:tcMar>
              <w:top w:w="30" w:type="dxa"/>
              <w:left w:w="30" w:type="dxa"/>
              <w:bottom w:w="30" w:type="dxa"/>
              <w:right w:w="30" w:type="dxa"/>
            </w:tcMar>
            <w:vAlign w:val="center"/>
            <w:hideMark/>
          </w:tcPr>
          <w:p w14:paraId="25ABCCB5" w14:textId="77777777" w:rsidR="00BA323C" w:rsidRPr="00BA323C" w:rsidRDefault="00BA323C" w:rsidP="00BA323C">
            <w:pPr>
              <w:numPr>
                <w:ilvl w:val="0"/>
                <w:numId w:val="30"/>
              </w:numPr>
            </w:pPr>
            <w:r w:rsidRPr="00BA323C">
              <w:t>U.S. Energy Storage Monitor, Executive Summary - Wood Mackenzie</w:t>
            </w:r>
          </w:p>
          <w:p w14:paraId="4AD8F333" w14:textId="77777777" w:rsidR="00BA323C" w:rsidRPr="00BA323C" w:rsidRDefault="00BA323C" w:rsidP="00BA323C">
            <w:pPr>
              <w:numPr>
                <w:ilvl w:val="0"/>
                <w:numId w:val="30"/>
              </w:numPr>
            </w:pPr>
            <w:r w:rsidRPr="00BA323C">
              <w:rPr>
                <w:b/>
                <w:bCs/>
              </w:rPr>
              <w:t>Reading Summary #6 Due</w:t>
            </w:r>
          </w:p>
        </w:tc>
      </w:tr>
      <w:tr w:rsidR="00BA323C" w:rsidRPr="00BA323C" w14:paraId="65248384" w14:textId="77777777" w:rsidTr="00BA323C">
        <w:trPr>
          <w:trHeight w:val="1877"/>
        </w:trPr>
        <w:tc>
          <w:tcPr>
            <w:tcW w:w="1170" w:type="dxa"/>
            <w:tcMar>
              <w:top w:w="30" w:type="dxa"/>
              <w:left w:w="30" w:type="dxa"/>
              <w:bottom w:w="30" w:type="dxa"/>
              <w:right w:w="30" w:type="dxa"/>
            </w:tcMar>
            <w:vAlign w:val="center"/>
            <w:hideMark/>
          </w:tcPr>
          <w:p w14:paraId="3B5FDD67" w14:textId="77777777" w:rsidR="00BA323C" w:rsidRPr="00BA323C" w:rsidRDefault="00BA323C" w:rsidP="00BA323C">
            <w:r w:rsidRPr="00BA323C">
              <w:lastRenderedPageBreak/>
              <w:t> </w:t>
            </w:r>
          </w:p>
          <w:p w14:paraId="67BD9AA6" w14:textId="77777777" w:rsidR="00BA323C" w:rsidRPr="00BA323C" w:rsidRDefault="00BA323C" w:rsidP="00BA323C">
            <w:r w:rsidRPr="00BA323C">
              <w:t> </w:t>
            </w:r>
          </w:p>
          <w:p w14:paraId="6FE2B129" w14:textId="77777777" w:rsidR="00BA323C" w:rsidRPr="00BA323C" w:rsidRDefault="00BA323C" w:rsidP="00BA323C">
            <w:r w:rsidRPr="00BA323C">
              <w:t> </w:t>
            </w:r>
          </w:p>
        </w:tc>
        <w:tc>
          <w:tcPr>
            <w:tcW w:w="810" w:type="dxa"/>
            <w:tcMar>
              <w:top w:w="30" w:type="dxa"/>
              <w:left w:w="30" w:type="dxa"/>
              <w:bottom w:w="30" w:type="dxa"/>
              <w:right w:w="30" w:type="dxa"/>
            </w:tcMar>
            <w:vAlign w:val="center"/>
            <w:hideMark/>
          </w:tcPr>
          <w:p w14:paraId="66B37072" w14:textId="77777777" w:rsidR="00BA323C" w:rsidRPr="00BA323C" w:rsidRDefault="00BA323C" w:rsidP="00BA323C">
            <w:r w:rsidRPr="00BA323C">
              <w:t>4/2</w:t>
            </w:r>
          </w:p>
        </w:tc>
        <w:tc>
          <w:tcPr>
            <w:tcW w:w="2880" w:type="dxa"/>
            <w:tcMar>
              <w:top w:w="30" w:type="dxa"/>
              <w:left w:w="30" w:type="dxa"/>
              <w:bottom w:w="30" w:type="dxa"/>
              <w:right w:w="30" w:type="dxa"/>
            </w:tcMar>
            <w:vAlign w:val="center"/>
            <w:hideMark/>
          </w:tcPr>
          <w:p w14:paraId="0CEDBDAD" w14:textId="77777777" w:rsidR="00BA323C" w:rsidRPr="00BA323C" w:rsidRDefault="00BA323C" w:rsidP="00BA323C">
            <w:r w:rsidRPr="00BA323C">
              <w:rPr>
                <w:b/>
                <w:bCs/>
              </w:rPr>
              <w:t>NO CLASS – Easter/Passover</w:t>
            </w:r>
          </w:p>
        </w:tc>
        <w:tc>
          <w:tcPr>
            <w:tcW w:w="14338" w:type="dxa"/>
            <w:tcMar>
              <w:top w:w="30" w:type="dxa"/>
              <w:left w:w="30" w:type="dxa"/>
              <w:bottom w:w="30" w:type="dxa"/>
              <w:right w:w="30" w:type="dxa"/>
            </w:tcMar>
            <w:vAlign w:val="center"/>
            <w:hideMark/>
          </w:tcPr>
          <w:p w14:paraId="17925DC8" w14:textId="77777777" w:rsidR="00BA323C" w:rsidRPr="00BA323C" w:rsidRDefault="00BA323C" w:rsidP="00BA323C">
            <w:r w:rsidRPr="00BA323C">
              <w:t> </w:t>
            </w:r>
          </w:p>
        </w:tc>
      </w:tr>
      <w:tr w:rsidR="00BA323C" w:rsidRPr="00BA323C" w14:paraId="51EF8B84" w14:textId="77777777" w:rsidTr="00BA323C">
        <w:trPr>
          <w:trHeight w:val="798"/>
        </w:trPr>
        <w:tc>
          <w:tcPr>
            <w:tcW w:w="1170" w:type="dxa"/>
            <w:tcMar>
              <w:top w:w="30" w:type="dxa"/>
              <w:left w:w="30" w:type="dxa"/>
              <w:bottom w:w="30" w:type="dxa"/>
              <w:right w:w="30" w:type="dxa"/>
            </w:tcMar>
            <w:vAlign w:val="center"/>
            <w:hideMark/>
          </w:tcPr>
          <w:p w14:paraId="44D65231" w14:textId="77777777" w:rsidR="00BA323C" w:rsidRPr="00BA323C" w:rsidRDefault="00BA323C" w:rsidP="00BA323C">
            <w:r w:rsidRPr="00BA323C">
              <w:t>12</w:t>
            </w:r>
          </w:p>
        </w:tc>
        <w:tc>
          <w:tcPr>
            <w:tcW w:w="810" w:type="dxa"/>
            <w:tcMar>
              <w:top w:w="30" w:type="dxa"/>
              <w:left w:w="30" w:type="dxa"/>
              <w:bottom w:w="30" w:type="dxa"/>
              <w:right w:w="30" w:type="dxa"/>
            </w:tcMar>
            <w:vAlign w:val="center"/>
            <w:hideMark/>
          </w:tcPr>
          <w:p w14:paraId="6D1C0993" w14:textId="77777777" w:rsidR="00BA323C" w:rsidRPr="00BA323C" w:rsidRDefault="00BA323C" w:rsidP="00BA323C">
            <w:r w:rsidRPr="00BA323C">
              <w:t>4/9</w:t>
            </w:r>
          </w:p>
        </w:tc>
        <w:tc>
          <w:tcPr>
            <w:tcW w:w="2880" w:type="dxa"/>
            <w:tcMar>
              <w:top w:w="30" w:type="dxa"/>
              <w:left w:w="30" w:type="dxa"/>
              <w:bottom w:w="30" w:type="dxa"/>
              <w:right w:w="30" w:type="dxa"/>
            </w:tcMar>
            <w:vAlign w:val="center"/>
            <w:hideMark/>
          </w:tcPr>
          <w:p w14:paraId="67A83C31" w14:textId="77777777" w:rsidR="00BA323C" w:rsidRPr="00BA323C" w:rsidRDefault="00BA323C" w:rsidP="00BA323C">
            <w:r w:rsidRPr="00BA323C">
              <w:rPr>
                <w:b/>
                <w:bCs/>
              </w:rPr>
              <w:t>Final Presentations</w:t>
            </w:r>
          </w:p>
        </w:tc>
        <w:tc>
          <w:tcPr>
            <w:tcW w:w="14338" w:type="dxa"/>
            <w:tcMar>
              <w:top w:w="30" w:type="dxa"/>
              <w:left w:w="30" w:type="dxa"/>
              <w:bottom w:w="30" w:type="dxa"/>
              <w:right w:w="30" w:type="dxa"/>
            </w:tcMar>
            <w:vAlign w:val="center"/>
            <w:hideMark/>
          </w:tcPr>
          <w:p w14:paraId="3C1A244E" w14:textId="77777777" w:rsidR="00BA323C" w:rsidRPr="00BA323C" w:rsidRDefault="00BA323C" w:rsidP="00BA323C">
            <w:r w:rsidRPr="00BA323C">
              <w:t>·       </w:t>
            </w:r>
            <w:r w:rsidRPr="00BA323C">
              <w:rPr>
                <w:b/>
                <w:bCs/>
              </w:rPr>
              <w:t xml:space="preserve">Assignment #4 </w:t>
            </w:r>
            <w:proofErr w:type="gramStart"/>
            <w:r w:rsidRPr="00BA323C">
              <w:rPr>
                <w:b/>
                <w:bCs/>
              </w:rPr>
              <w:t>Due @</w:t>
            </w:r>
            <w:proofErr w:type="gramEnd"/>
            <w:r w:rsidRPr="00BA323C">
              <w:rPr>
                <w:b/>
                <w:bCs/>
              </w:rPr>
              <w:t xml:space="preserve"> 11:59pm the day before class</w:t>
            </w:r>
          </w:p>
        </w:tc>
      </w:tr>
    </w:tbl>
    <w:p w14:paraId="6D37E6AE" w14:textId="77777777" w:rsidR="009E08AB" w:rsidRDefault="009E08AB"/>
    <w:sectPr w:rsidR="009E08AB" w:rsidSect="00BA323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18B"/>
    <w:multiLevelType w:val="multilevel"/>
    <w:tmpl w:val="52B2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94B80"/>
    <w:multiLevelType w:val="multilevel"/>
    <w:tmpl w:val="6188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F0C0A"/>
    <w:multiLevelType w:val="multilevel"/>
    <w:tmpl w:val="FF30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DF4A22"/>
    <w:multiLevelType w:val="multilevel"/>
    <w:tmpl w:val="7956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36E09"/>
    <w:multiLevelType w:val="multilevel"/>
    <w:tmpl w:val="1B9A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327D03"/>
    <w:multiLevelType w:val="multilevel"/>
    <w:tmpl w:val="70FE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C5543"/>
    <w:multiLevelType w:val="multilevel"/>
    <w:tmpl w:val="82C6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8D57C4"/>
    <w:multiLevelType w:val="multilevel"/>
    <w:tmpl w:val="5F94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B552DF"/>
    <w:multiLevelType w:val="multilevel"/>
    <w:tmpl w:val="0792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B521A2"/>
    <w:multiLevelType w:val="multilevel"/>
    <w:tmpl w:val="145C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6A3920"/>
    <w:multiLevelType w:val="multilevel"/>
    <w:tmpl w:val="97D0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D71BD6"/>
    <w:multiLevelType w:val="multilevel"/>
    <w:tmpl w:val="0B7C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5E2170"/>
    <w:multiLevelType w:val="multilevel"/>
    <w:tmpl w:val="01C6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857EA3"/>
    <w:multiLevelType w:val="multilevel"/>
    <w:tmpl w:val="1226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7646B8"/>
    <w:multiLevelType w:val="multilevel"/>
    <w:tmpl w:val="85F4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867BD9"/>
    <w:multiLevelType w:val="multilevel"/>
    <w:tmpl w:val="F710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777906"/>
    <w:multiLevelType w:val="multilevel"/>
    <w:tmpl w:val="51FA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473FB4"/>
    <w:multiLevelType w:val="multilevel"/>
    <w:tmpl w:val="5CE2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B87A5B"/>
    <w:multiLevelType w:val="multilevel"/>
    <w:tmpl w:val="720E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C25D71"/>
    <w:multiLevelType w:val="multilevel"/>
    <w:tmpl w:val="12CC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3367F3"/>
    <w:multiLevelType w:val="multilevel"/>
    <w:tmpl w:val="4EEA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9E5349"/>
    <w:multiLevelType w:val="multilevel"/>
    <w:tmpl w:val="BE9A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E22F41"/>
    <w:multiLevelType w:val="multilevel"/>
    <w:tmpl w:val="0F40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3F4887"/>
    <w:multiLevelType w:val="multilevel"/>
    <w:tmpl w:val="2C0A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6450B7"/>
    <w:multiLevelType w:val="multilevel"/>
    <w:tmpl w:val="779E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F33A0F"/>
    <w:multiLevelType w:val="multilevel"/>
    <w:tmpl w:val="2A1C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AC48B4"/>
    <w:multiLevelType w:val="multilevel"/>
    <w:tmpl w:val="A624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E47382"/>
    <w:multiLevelType w:val="multilevel"/>
    <w:tmpl w:val="07C0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9310DC"/>
    <w:multiLevelType w:val="multilevel"/>
    <w:tmpl w:val="EAE0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D56FFA"/>
    <w:multiLevelType w:val="multilevel"/>
    <w:tmpl w:val="3010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5436562">
    <w:abstractNumId w:val="2"/>
  </w:num>
  <w:num w:numId="2" w16cid:durableId="750783298">
    <w:abstractNumId w:val="21"/>
  </w:num>
  <w:num w:numId="3" w16cid:durableId="815806282">
    <w:abstractNumId w:val="6"/>
  </w:num>
  <w:num w:numId="4" w16cid:durableId="2130470849">
    <w:abstractNumId w:val="24"/>
  </w:num>
  <w:num w:numId="5" w16cid:durableId="1441530357">
    <w:abstractNumId w:val="7"/>
  </w:num>
  <w:num w:numId="6" w16cid:durableId="1962683434">
    <w:abstractNumId w:val="10"/>
  </w:num>
  <w:num w:numId="7" w16cid:durableId="923148747">
    <w:abstractNumId w:val="28"/>
  </w:num>
  <w:num w:numId="8" w16cid:durableId="1948155060">
    <w:abstractNumId w:val="5"/>
  </w:num>
  <w:num w:numId="9" w16cid:durableId="346710676">
    <w:abstractNumId w:val="18"/>
  </w:num>
  <w:num w:numId="10" w16cid:durableId="1111389328">
    <w:abstractNumId w:val="0"/>
  </w:num>
  <w:num w:numId="11" w16cid:durableId="491917340">
    <w:abstractNumId w:val="29"/>
  </w:num>
  <w:num w:numId="12" w16cid:durableId="2093047118">
    <w:abstractNumId w:val="14"/>
  </w:num>
  <w:num w:numId="13" w16cid:durableId="1498612844">
    <w:abstractNumId w:val="17"/>
  </w:num>
  <w:num w:numId="14" w16cid:durableId="1742368643">
    <w:abstractNumId w:val="26"/>
  </w:num>
  <w:num w:numId="15" w16cid:durableId="405346632">
    <w:abstractNumId w:val="20"/>
  </w:num>
  <w:num w:numId="16" w16cid:durableId="644118281">
    <w:abstractNumId w:val="9"/>
  </w:num>
  <w:num w:numId="17" w16cid:durableId="1314870687">
    <w:abstractNumId w:val="22"/>
  </w:num>
  <w:num w:numId="18" w16cid:durableId="462044510">
    <w:abstractNumId w:val="4"/>
  </w:num>
  <w:num w:numId="19" w16cid:durableId="590354878">
    <w:abstractNumId w:val="3"/>
  </w:num>
  <w:num w:numId="20" w16cid:durableId="630405367">
    <w:abstractNumId w:val="19"/>
  </w:num>
  <w:num w:numId="21" w16cid:durableId="2007585833">
    <w:abstractNumId w:val="8"/>
  </w:num>
  <w:num w:numId="22" w16cid:durableId="2010861271">
    <w:abstractNumId w:val="27"/>
  </w:num>
  <w:num w:numId="23" w16cid:durableId="1130708660">
    <w:abstractNumId w:val="23"/>
  </w:num>
  <w:num w:numId="24" w16cid:durableId="1647540904">
    <w:abstractNumId w:val="12"/>
  </w:num>
  <w:num w:numId="25" w16cid:durableId="672491611">
    <w:abstractNumId w:val="25"/>
  </w:num>
  <w:num w:numId="26" w16cid:durableId="186064919">
    <w:abstractNumId w:val="13"/>
  </w:num>
  <w:num w:numId="27" w16cid:durableId="302153467">
    <w:abstractNumId w:val="11"/>
  </w:num>
  <w:num w:numId="28" w16cid:durableId="1498836814">
    <w:abstractNumId w:val="15"/>
  </w:num>
  <w:num w:numId="29" w16cid:durableId="1476491672">
    <w:abstractNumId w:val="16"/>
  </w:num>
  <w:num w:numId="30" w16cid:durableId="210240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3C"/>
    <w:rsid w:val="002C167E"/>
    <w:rsid w:val="00433772"/>
    <w:rsid w:val="009E08AB"/>
    <w:rsid w:val="00BA323C"/>
    <w:rsid w:val="00FB0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EF2D"/>
  <w15:chartTrackingRefBased/>
  <w15:docId w15:val="{F5C425F7-BCAA-492D-9866-3DADB096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23C"/>
    <w:rPr>
      <w:rFonts w:eastAsiaTheme="majorEastAsia" w:cstheme="majorBidi"/>
      <w:color w:val="272727" w:themeColor="text1" w:themeTint="D8"/>
    </w:rPr>
  </w:style>
  <w:style w:type="paragraph" w:styleId="Title">
    <w:name w:val="Title"/>
    <w:basedOn w:val="Normal"/>
    <w:next w:val="Normal"/>
    <w:link w:val="TitleChar"/>
    <w:uiPriority w:val="10"/>
    <w:qFormat/>
    <w:rsid w:val="00BA3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23C"/>
    <w:pPr>
      <w:spacing w:before="160"/>
      <w:jc w:val="center"/>
    </w:pPr>
    <w:rPr>
      <w:i/>
      <w:iCs/>
      <w:color w:val="404040" w:themeColor="text1" w:themeTint="BF"/>
    </w:rPr>
  </w:style>
  <w:style w:type="character" w:customStyle="1" w:styleId="QuoteChar">
    <w:name w:val="Quote Char"/>
    <w:basedOn w:val="DefaultParagraphFont"/>
    <w:link w:val="Quote"/>
    <w:uiPriority w:val="29"/>
    <w:rsid w:val="00BA323C"/>
    <w:rPr>
      <w:i/>
      <w:iCs/>
      <w:color w:val="404040" w:themeColor="text1" w:themeTint="BF"/>
    </w:rPr>
  </w:style>
  <w:style w:type="paragraph" w:styleId="ListParagraph">
    <w:name w:val="List Paragraph"/>
    <w:basedOn w:val="Normal"/>
    <w:uiPriority w:val="34"/>
    <w:qFormat/>
    <w:rsid w:val="00BA323C"/>
    <w:pPr>
      <w:ind w:left="720"/>
      <w:contextualSpacing/>
    </w:pPr>
  </w:style>
  <w:style w:type="character" w:styleId="IntenseEmphasis">
    <w:name w:val="Intense Emphasis"/>
    <w:basedOn w:val="DefaultParagraphFont"/>
    <w:uiPriority w:val="21"/>
    <w:qFormat/>
    <w:rsid w:val="00BA323C"/>
    <w:rPr>
      <w:i/>
      <w:iCs/>
      <w:color w:val="0F4761" w:themeColor="accent1" w:themeShade="BF"/>
    </w:rPr>
  </w:style>
  <w:style w:type="paragraph" w:styleId="IntenseQuote">
    <w:name w:val="Intense Quote"/>
    <w:basedOn w:val="Normal"/>
    <w:next w:val="Normal"/>
    <w:link w:val="IntenseQuoteChar"/>
    <w:uiPriority w:val="30"/>
    <w:qFormat/>
    <w:rsid w:val="00BA3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23C"/>
    <w:rPr>
      <w:i/>
      <w:iCs/>
      <w:color w:val="0F4761" w:themeColor="accent1" w:themeShade="BF"/>
    </w:rPr>
  </w:style>
  <w:style w:type="character" w:styleId="IntenseReference">
    <w:name w:val="Intense Reference"/>
    <w:basedOn w:val="DefaultParagraphFont"/>
    <w:uiPriority w:val="32"/>
    <w:qFormat/>
    <w:rsid w:val="00BA323C"/>
    <w:rPr>
      <w:b/>
      <w:bCs/>
      <w:smallCaps/>
      <w:color w:val="0F4761" w:themeColor="accent1" w:themeShade="BF"/>
      <w:spacing w:val="5"/>
    </w:rPr>
  </w:style>
  <w:style w:type="character" w:styleId="Hyperlink">
    <w:name w:val="Hyperlink"/>
    <w:basedOn w:val="DefaultParagraphFont"/>
    <w:uiPriority w:val="99"/>
    <w:unhideWhenUsed/>
    <w:rsid w:val="00BA323C"/>
    <w:rPr>
      <w:color w:val="467886" w:themeColor="hyperlink"/>
      <w:u w:val="single"/>
    </w:rPr>
  </w:style>
  <w:style w:type="character" w:styleId="UnresolvedMention">
    <w:name w:val="Unresolved Mention"/>
    <w:basedOn w:val="DefaultParagraphFont"/>
    <w:uiPriority w:val="99"/>
    <w:semiHidden/>
    <w:unhideWhenUsed/>
    <w:rsid w:val="00BA3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y.wu@duke.edu" TargetMode="External"/><Relationship Id="rId3" Type="http://schemas.openxmlformats.org/officeDocument/2006/relationships/settings" Target="settings.xml"/><Relationship Id="rId7" Type="http://schemas.openxmlformats.org/officeDocument/2006/relationships/hyperlink" Target="mailto:rory.huntly@duk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tt.starr@duke.edu" TargetMode="External"/><Relationship Id="rId5" Type="http://schemas.openxmlformats.org/officeDocument/2006/relationships/hyperlink" Target="mailto:adam.medoff@duke.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2147</Words>
  <Characters>12242</Characters>
  <Application>Microsoft Office Word</Application>
  <DocSecurity>0</DocSecurity>
  <Lines>102</Lines>
  <Paragraphs>28</Paragraphs>
  <ScaleCrop>false</ScaleCrop>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Cloud</dc:creator>
  <cp:keywords/>
  <dc:description/>
  <cp:lastModifiedBy>Katie Cloud</cp:lastModifiedBy>
  <cp:revision>2</cp:revision>
  <dcterms:created xsi:type="dcterms:W3CDTF">2026-01-13T19:30:00Z</dcterms:created>
  <dcterms:modified xsi:type="dcterms:W3CDTF">2026-01-13T19:30:00Z</dcterms:modified>
</cp:coreProperties>
</file>