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E5A8" w14:textId="62B45FF7" w:rsidR="00DE40DB" w:rsidRPr="00C56620" w:rsidRDefault="00416E4F">
      <w:pPr>
        <w:rPr>
          <w:rFonts w:asciiTheme="minorHAnsi" w:hAnsiTheme="minorHAnsi"/>
          <w:b/>
          <w:sz w:val="28"/>
        </w:rPr>
      </w:pPr>
      <w:bookmarkStart w:id="0" w:name="_GoBack"/>
      <w:bookmarkEnd w:id="0"/>
      <w:r w:rsidRPr="00C56620">
        <w:rPr>
          <w:rFonts w:asciiTheme="minorHAnsi" w:hAnsiTheme="minorHAnsi"/>
          <w:b/>
          <w:sz w:val="28"/>
        </w:rPr>
        <w:t xml:space="preserve">Reconciling EECs in NC-RETS with EE savings in DSM/EE Riders </w:t>
      </w:r>
    </w:p>
    <w:p w14:paraId="7BB2540A" w14:textId="66099E27" w:rsidR="00416E4F" w:rsidRPr="00C56620" w:rsidRDefault="00DD5004">
      <w:pPr>
        <w:rPr>
          <w:rFonts w:asciiTheme="minorHAnsi" w:hAnsiTheme="minorHAnsi"/>
        </w:rPr>
      </w:pPr>
      <w:r>
        <w:rPr>
          <w:rFonts w:asciiTheme="minorHAnsi" w:hAnsiTheme="minorHAnsi"/>
        </w:rPr>
        <w:t xml:space="preserve">DRAFT:  </w:t>
      </w:r>
      <w:r w:rsidR="008D4BA6" w:rsidRPr="00C56620">
        <w:rPr>
          <w:rFonts w:asciiTheme="minorHAnsi" w:hAnsiTheme="minorHAnsi"/>
        </w:rPr>
        <w:t>March 28</w:t>
      </w:r>
      <w:r w:rsidR="00CC250F" w:rsidRPr="00C56620">
        <w:rPr>
          <w:rFonts w:asciiTheme="minorHAnsi" w:hAnsiTheme="minorHAnsi"/>
        </w:rPr>
        <w:t>, 2019</w:t>
      </w:r>
    </w:p>
    <w:p w14:paraId="657215B0" w14:textId="414F1BEE" w:rsidR="00946C1B" w:rsidRPr="00C56620" w:rsidRDefault="00946C1B">
      <w:pPr>
        <w:rPr>
          <w:rFonts w:asciiTheme="minorHAnsi" w:hAnsiTheme="minorHAnsi"/>
          <w:b/>
        </w:rPr>
      </w:pPr>
    </w:p>
    <w:p w14:paraId="12EF6270" w14:textId="1CD2E504" w:rsidR="007621A9" w:rsidRPr="00C56620" w:rsidRDefault="007621A9">
      <w:pPr>
        <w:rPr>
          <w:rFonts w:asciiTheme="minorHAnsi" w:hAnsiTheme="minorHAnsi"/>
          <w:bCs/>
        </w:rPr>
      </w:pPr>
      <w:r w:rsidRPr="00C56620">
        <w:rPr>
          <w:rFonts w:asciiTheme="minorHAnsi" w:hAnsiTheme="minorHAnsi"/>
          <w:b/>
          <w:bCs/>
        </w:rPr>
        <w:t>Renewable Energy and Energy Efficiency Portfolio Standard (REPS</w:t>
      </w:r>
      <w:r w:rsidRPr="00C56620">
        <w:rPr>
          <w:rFonts w:asciiTheme="minorHAnsi" w:hAnsiTheme="minorHAnsi"/>
          <w:bCs/>
        </w:rPr>
        <w:t>) (</w:t>
      </w:r>
      <w:hyperlink r:id="rId5" w:history="1">
        <w:r w:rsidRPr="00C56620">
          <w:rPr>
            <w:rStyle w:val="Hyperlink"/>
            <w:rFonts w:asciiTheme="minorHAnsi" w:hAnsiTheme="minorHAnsi"/>
            <w:bCs/>
          </w:rPr>
          <w:t>G.S. 62-133.8</w:t>
        </w:r>
      </w:hyperlink>
      <w:r w:rsidRPr="00C56620">
        <w:rPr>
          <w:rFonts w:asciiTheme="minorHAnsi" w:hAnsiTheme="minorHAnsi"/>
          <w:bCs/>
        </w:rPr>
        <w:t>)</w:t>
      </w:r>
    </w:p>
    <w:p w14:paraId="67026A5F" w14:textId="31F737E0" w:rsidR="00F6542D" w:rsidRPr="00C56620" w:rsidRDefault="00E54ECF" w:rsidP="00E54ECF">
      <w:pPr>
        <w:rPr>
          <w:rFonts w:asciiTheme="minorHAnsi" w:hAnsiTheme="minorHAnsi"/>
        </w:rPr>
      </w:pPr>
      <w:r w:rsidRPr="00C56620">
        <w:rPr>
          <w:rFonts w:asciiTheme="minorHAnsi" w:hAnsiTheme="minorHAnsi"/>
        </w:rPr>
        <w:t>North Carolina’s REPS was e</w:t>
      </w:r>
      <w:r w:rsidR="00080EAA" w:rsidRPr="00C56620">
        <w:rPr>
          <w:rFonts w:asciiTheme="minorHAnsi" w:hAnsiTheme="minorHAnsi"/>
        </w:rPr>
        <w:t>stablished by Senate Bill 3 in 2007</w:t>
      </w:r>
      <w:r w:rsidRPr="00C56620">
        <w:rPr>
          <w:rFonts w:asciiTheme="minorHAnsi" w:hAnsiTheme="minorHAnsi"/>
        </w:rPr>
        <w:t xml:space="preserve">. It requires each utility in the state to generate an increasing percentage of its energy mix from renewable sources. </w:t>
      </w:r>
    </w:p>
    <w:p w14:paraId="74276131" w14:textId="77777777" w:rsidR="003E1744" w:rsidRPr="00C56620" w:rsidRDefault="003E1744" w:rsidP="00E54ECF">
      <w:pPr>
        <w:rPr>
          <w:rFonts w:asciiTheme="minorHAnsi" w:hAnsiTheme="minorHAnsi"/>
        </w:rPr>
      </w:pPr>
    </w:p>
    <w:p w14:paraId="62B7A815" w14:textId="33D26691" w:rsidR="00F6542D" w:rsidRPr="00C56620" w:rsidRDefault="00080EAA" w:rsidP="00D771A6">
      <w:pPr>
        <w:numPr>
          <w:ilvl w:val="0"/>
          <w:numId w:val="1"/>
        </w:numPr>
        <w:rPr>
          <w:rFonts w:asciiTheme="minorHAnsi" w:hAnsiTheme="minorHAnsi"/>
        </w:rPr>
      </w:pPr>
      <w:r w:rsidRPr="00C56620">
        <w:rPr>
          <w:rFonts w:asciiTheme="minorHAnsi" w:hAnsiTheme="minorHAnsi"/>
          <w:i/>
        </w:rPr>
        <w:t>Investor-owned utilities</w:t>
      </w:r>
      <w:r w:rsidRPr="00C56620">
        <w:rPr>
          <w:rFonts w:asciiTheme="minorHAnsi" w:hAnsiTheme="minorHAnsi"/>
        </w:rPr>
        <w:t>: 12.5%</w:t>
      </w:r>
      <w:r w:rsidR="007621A9" w:rsidRPr="00C56620">
        <w:rPr>
          <w:rFonts w:asciiTheme="minorHAnsi" w:hAnsiTheme="minorHAnsi"/>
        </w:rPr>
        <w:t xml:space="preserve"> renewable energy (as % of retail sales)</w:t>
      </w:r>
      <w:r w:rsidRPr="00C56620">
        <w:rPr>
          <w:rFonts w:asciiTheme="minorHAnsi" w:hAnsiTheme="minorHAnsi"/>
        </w:rPr>
        <w:t xml:space="preserve"> by 2021</w:t>
      </w:r>
    </w:p>
    <w:p w14:paraId="3AB82B36" w14:textId="2264D36F" w:rsidR="00F6542D" w:rsidRPr="00C56620" w:rsidRDefault="008C6EBF" w:rsidP="00D771A6">
      <w:pPr>
        <w:numPr>
          <w:ilvl w:val="1"/>
          <w:numId w:val="1"/>
        </w:numPr>
        <w:rPr>
          <w:rFonts w:asciiTheme="minorHAnsi" w:hAnsiTheme="minorHAnsi"/>
        </w:rPr>
      </w:pPr>
      <w:r w:rsidRPr="00C56620">
        <w:rPr>
          <w:rFonts w:asciiTheme="minorHAnsi" w:hAnsiTheme="minorHAnsi"/>
        </w:rPr>
        <w:t xml:space="preserve">EE Measures can be used to meet </w:t>
      </w:r>
      <w:r w:rsidRPr="00C56620">
        <w:rPr>
          <w:rFonts w:asciiTheme="minorHAnsi" w:hAnsiTheme="minorHAnsi"/>
          <w:b/>
          <w:i/>
        </w:rPr>
        <w:t>u</w:t>
      </w:r>
      <w:r w:rsidR="00080EAA" w:rsidRPr="00C56620">
        <w:rPr>
          <w:rFonts w:asciiTheme="minorHAnsi" w:hAnsiTheme="minorHAnsi"/>
          <w:b/>
          <w:i/>
        </w:rPr>
        <w:t>p to 25%</w:t>
      </w:r>
      <w:r w:rsidR="00080EAA" w:rsidRPr="00C56620">
        <w:rPr>
          <w:rFonts w:asciiTheme="minorHAnsi" w:hAnsiTheme="minorHAnsi"/>
        </w:rPr>
        <w:t xml:space="preserve"> of the requirement </w:t>
      </w:r>
    </w:p>
    <w:p w14:paraId="465E7A94" w14:textId="1E63E9B9" w:rsidR="00F6542D" w:rsidRPr="00C56620" w:rsidRDefault="00080EAA" w:rsidP="00D771A6">
      <w:pPr>
        <w:numPr>
          <w:ilvl w:val="1"/>
          <w:numId w:val="1"/>
        </w:numPr>
        <w:rPr>
          <w:rFonts w:asciiTheme="minorHAnsi" w:hAnsiTheme="minorHAnsi"/>
        </w:rPr>
      </w:pPr>
      <w:r w:rsidRPr="00C56620">
        <w:rPr>
          <w:rFonts w:asciiTheme="minorHAnsi" w:hAnsiTheme="minorHAnsi"/>
        </w:rPr>
        <w:t xml:space="preserve">After 2021, </w:t>
      </w:r>
      <w:r w:rsidRPr="00C56620">
        <w:rPr>
          <w:rFonts w:asciiTheme="minorHAnsi" w:hAnsiTheme="minorHAnsi"/>
          <w:b/>
          <w:i/>
        </w:rPr>
        <w:t>up to 40%</w:t>
      </w:r>
      <w:r w:rsidRPr="00C56620">
        <w:rPr>
          <w:rFonts w:asciiTheme="minorHAnsi" w:hAnsiTheme="minorHAnsi"/>
        </w:rPr>
        <w:t xml:space="preserve"> of the standard may be met through energy efficiency</w:t>
      </w:r>
    </w:p>
    <w:p w14:paraId="31914FF1" w14:textId="121FCF0F" w:rsidR="00F6542D" w:rsidRPr="00C56620" w:rsidRDefault="00080EAA" w:rsidP="00D771A6">
      <w:pPr>
        <w:numPr>
          <w:ilvl w:val="0"/>
          <w:numId w:val="1"/>
        </w:numPr>
        <w:rPr>
          <w:rFonts w:asciiTheme="minorHAnsi" w:hAnsiTheme="minorHAnsi"/>
        </w:rPr>
      </w:pPr>
      <w:r w:rsidRPr="00C56620">
        <w:rPr>
          <w:rFonts w:asciiTheme="minorHAnsi" w:hAnsiTheme="minorHAnsi"/>
          <w:i/>
        </w:rPr>
        <w:t>Electric cooperatives, municipal utilities</w:t>
      </w:r>
      <w:r w:rsidRPr="00C56620">
        <w:rPr>
          <w:rFonts w:asciiTheme="minorHAnsi" w:hAnsiTheme="minorHAnsi"/>
        </w:rPr>
        <w:t>: 10%</w:t>
      </w:r>
      <w:r w:rsidR="007621A9" w:rsidRPr="00C56620">
        <w:rPr>
          <w:rFonts w:asciiTheme="minorHAnsi" w:hAnsiTheme="minorHAnsi"/>
        </w:rPr>
        <w:t xml:space="preserve"> renewable energy</w:t>
      </w:r>
      <w:r w:rsidRPr="00C56620">
        <w:rPr>
          <w:rFonts w:asciiTheme="minorHAnsi" w:hAnsiTheme="minorHAnsi"/>
        </w:rPr>
        <w:t xml:space="preserve"> by 2018</w:t>
      </w:r>
    </w:p>
    <w:p w14:paraId="52655A84" w14:textId="77777777" w:rsidR="00E54ECF" w:rsidRPr="00C56620" w:rsidRDefault="00080EAA" w:rsidP="00E54ECF">
      <w:pPr>
        <w:numPr>
          <w:ilvl w:val="1"/>
          <w:numId w:val="1"/>
        </w:numPr>
        <w:rPr>
          <w:rFonts w:asciiTheme="minorHAnsi" w:hAnsiTheme="minorHAnsi"/>
        </w:rPr>
      </w:pPr>
      <w:r w:rsidRPr="00C56620">
        <w:rPr>
          <w:rFonts w:asciiTheme="minorHAnsi" w:hAnsiTheme="minorHAnsi"/>
          <w:b/>
          <w:i/>
        </w:rPr>
        <w:t>No limitation</w:t>
      </w:r>
      <w:r w:rsidRPr="00C56620">
        <w:rPr>
          <w:rFonts w:asciiTheme="minorHAnsi" w:hAnsiTheme="minorHAnsi"/>
        </w:rPr>
        <w:t xml:space="preserve"> on energy efficiency</w:t>
      </w:r>
    </w:p>
    <w:p w14:paraId="5A97008D" w14:textId="18DC318B" w:rsidR="00946C1B" w:rsidRPr="00C56620" w:rsidRDefault="00946C1B" w:rsidP="00E54ECF">
      <w:pPr>
        <w:numPr>
          <w:ilvl w:val="0"/>
          <w:numId w:val="1"/>
        </w:numPr>
        <w:rPr>
          <w:rFonts w:asciiTheme="minorHAnsi" w:hAnsiTheme="minorHAnsi"/>
        </w:rPr>
      </w:pPr>
      <w:r w:rsidRPr="00C56620">
        <w:rPr>
          <w:rFonts w:asciiTheme="minorHAnsi" w:hAnsiTheme="minorHAnsi"/>
        </w:rPr>
        <w:t>"</w:t>
      </w:r>
      <w:r w:rsidRPr="00C56620">
        <w:rPr>
          <w:rFonts w:asciiTheme="minorHAnsi" w:hAnsiTheme="minorHAnsi"/>
          <w:i/>
        </w:rPr>
        <w:t>Energy efficiency measure</w:t>
      </w:r>
      <w:r w:rsidRPr="00C56620">
        <w:rPr>
          <w:rFonts w:asciiTheme="minorHAnsi" w:hAnsiTheme="minorHAnsi"/>
        </w:rPr>
        <w:t xml:space="preserve">" </w:t>
      </w:r>
      <w:r w:rsidR="00E54ECF" w:rsidRPr="00C56620">
        <w:rPr>
          <w:rFonts w:asciiTheme="minorHAnsi" w:hAnsiTheme="minorHAnsi"/>
        </w:rPr>
        <w:t>in REPS is defined as</w:t>
      </w:r>
      <w:r w:rsidRPr="00C56620">
        <w:rPr>
          <w:rFonts w:asciiTheme="minorHAnsi" w:hAnsiTheme="minorHAnsi"/>
        </w:rPr>
        <w:t xml:space="preserve"> an equipment, physical, or program change implemented after January 1, 2007, that results in less energy used to perform the same function. "Energy efficiency measure" includes, but is not limited to, energy produced from a combined heat and power system that uses nonrenewable energy resources. "Energy efficiency measure" does not include demand-side management.</w:t>
      </w:r>
    </w:p>
    <w:p w14:paraId="4CC76249" w14:textId="18127213" w:rsidR="000F319A" w:rsidRPr="00C56620" w:rsidRDefault="000F319A">
      <w:pPr>
        <w:rPr>
          <w:rFonts w:asciiTheme="minorHAnsi" w:hAnsiTheme="minorHAnsi"/>
        </w:rPr>
      </w:pPr>
    </w:p>
    <w:p w14:paraId="525B613E" w14:textId="16AE6FFA" w:rsidR="00C56620" w:rsidRPr="00C56620" w:rsidRDefault="0083325D" w:rsidP="000F319A">
      <w:pPr>
        <w:rPr>
          <w:rFonts w:asciiTheme="minorHAnsi" w:hAnsiTheme="minorHAnsi"/>
        </w:rPr>
      </w:pPr>
      <w:hyperlink r:id="rId6" w:history="1">
        <w:r w:rsidR="000F319A" w:rsidRPr="00C56620">
          <w:rPr>
            <w:rStyle w:val="Hyperlink"/>
            <w:rFonts w:asciiTheme="minorHAnsi" w:hAnsiTheme="minorHAnsi"/>
            <w:b/>
            <w:i/>
          </w:rPr>
          <w:t>NC-RETS</w:t>
        </w:r>
      </w:hyperlink>
      <w:r w:rsidR="000F319A" w:rsidRPr="00C56620">
        <w:rPr>
          <w:rFonts w:asciiTheme="minorHAnsi" w:hAnsiTheme="minorHAnsi"/>
        </w:rPr>
        <w:t xml:space="preserve"> tracks the </w:t>
      </w:r>
      <w:r w:rsidR="000F319A" w:rsidRPr="00C56620">
        <w:rPr>
          <w:rFonts w:asciiTheme="minorHAnsi" w:hAnsiTheme="minorHAnsi"/>
          <w:b/>
        </w:rPr>
        <w:t>cumulative</w:t>
      </w:r>
      <w:r w:rsidR="000F319A" w:rsidRPr="00C56620">
        <w:rPr>
          <w:rFonts w:asciiTheme="minorHAnsi" w:hAnsiTheme="minorHAnsi"/>
        </w:rPr>
        <w:t xml:space="preserve"> level of Energy Efficiency Credits (EECs) generated to date, less any EECs used for compliance with </w:t>
      </w:r>
      <w:r w:rsidR="008D4BA6" w:rsidRPr="00C56620">
        <w:rPr>
          <w:rFonts w:asciiTheme="minorHAnsi" w:hAnsiTheme="minorHAnsi"/>
        </w:rPr>
        <w:t>the</w:t>
      </w:r>
      <w:r w:rsidR="000F319A" w:rsidRPr="00C56620">
        <w:rPr>
          <w:rFonts w:asciiTheme="minorHAnsi" w:hAnsiTheme="minorHAnsi"/>
        </w:rPr>
        <w:t xml:space="preserve"> REPS target and adjustments for EM&amp;V or other adjustments. The Commission’s </w:t>
      </w:r>
      <w:hyperlink r:id="rId7" w:history="1">
        <w:r w:rsidR="000F319A" w:rsidRPr="00C56620">
          <w:rPr>
            <w:rStyle w:val="Hyperlink"/>
            <w:rFonts w:asciiTheme="minorHAnsi" w:hAnsiTheme="minorHAnsi"/>
          </w:rPr>
          <w:t>January 17, 2017 order</w:t>
        </w:r>
      </w:hyperlink>
      <w:r w:rsidR="000F319A" w:rsidRPr="00C56620">
        <w:rPr>
          <w:rFonts w:asciiTheme="minorHAnsi" w:hAnsiTheme="minorHAnsi"/>
        </w:rPr>
        <w:t xml:space="preserve"> in DEP’s 2015 REPS docket No. E-2, Sub 1109, further defines the timeframe for measurement of EECs: “for REPS compliance purposes, EECs should be earned only from programs or measures that are implemented by an electric public utility for </w:t>
      </w:r>
      <w:r w:rsidR="000F319A" w:rsidRPr="00C56620">
        <w:rPr>
          <w:rFonts w:asciiTheme="minorHAnsi" w:hAnsiTheme="minorHAnsi"/>
          <w:b/>
        </w:rPr>
        <w:t>a duration equal to the life of the approved program or measure as established by the EM&amp;V process</w:t>
      </w:r>
      <w:r w:rsidR="000F319A" w:rsidRPr="00C56620">
        <w:rPr>
          <w:rFonts w:asciiTheme="minorHAnsi" w:hAnsiTheme="minorHAnsi"/>
        </w:rPr>
        <w:t xml:space="preserve">.”  </w:t>
      </w:r>
    </w:p>
    <w:p w14:paraId="4D65F7D9" w14:textId="2846DE3C" w:rsidR="008D4BA6" w:rsidRPr="00C56620" w:rsidRDefault="008D4BA6" w:rsidP="000F319A">
      <w:pPr>
        <w:rPr>
          <w:rFonts w:asciiTheme="minorHAnsi" w:hAnsiTheme="minorHAnsi"/>
        </w:rPr>
      </w:pPr>
    </w:p>
    <w:p w14:paraId="57A65092" w14:textId="77777777" w:rsidR="00C56620" w:rsidRPr="00C56620" w:rsidRDefault="00C56620" w:rsidP="00DE3841">
      <w:pPr>
        <w:rPr>
          <w:rFonts w:asciiTheme="minorHAnsi" w:hAnsiTheme="minorHAnsi"/>
          <w:sz w:val="22"/>
        </w:rPr>
      </w:pPr>
    </w:p>
    <w:p w14:paraId="6C824393" w14:textId="77777777" w:rsidR="00C56620" w:rsidRPr="00C56620" w:rsidRDefault="00C56620" w:rsidP="00DE3841">
      <w:pPr>
        <w:rPr>
          <w:rFonts w:asciiTheme="minorHAnsi" w:hAnsiTheme="minorHAnsi"/>
          <w:sz w:val="22"/>
        </w:rPr>
      </w:pPr>
    </w:p>
    <w:p w14:paraId="04157887" w14:textId="77777777" w:rsidR="00C56620" w:rsidRPr="00C56620" w:rsidRDefault="00C56620" w:rsidP="00DE3841">
      <w:pPr>
        <w:rPr>
          <w:rFonts w:asciiTheme="minorHAnsi" w:hAnsiTheme="minorHAnsi"/>
          <w:sz w:val="22"/>
        </w:rPr>
      </w:pPr>
    </w:p>
    <w:p w14:paraId="6D3AEC61" w14:textId="77777777" w:rsidR="00C56620" w:rsidRPr="00C56620" w:rsidRDefault="00C56620" w:rsidP="00DE3841">
      <w:pPr>
        <w:rPr>
          <w:rFonts w:asciiTheme="minorHAnsi" w:hAnsiTheme="minorHAnsi"/>
          <w:sz w:val="22"/>
        </w:rPr>
      </w:pPr>
    </w:p>
    <w:p w14:paraId="5D8A24B2" w14:textId="77777777" w:rsidR="00C56620" w:rsidRPr="00C56620" w:rsidRDefault="00C56620" w:rsidP="00DE3841">
      <w:pPr>
        <w:rPr>
          <w:rFonts w:asciiTheme="minorHAnsi" w:hAnsiTheme="minorHAnsi"/>
          <w:sz w:val="22"/>
        </w:rPr>
      </w:pPr>
    </w:p>
    <w:p w14:paraId="23AE92E7" w14:textId="77777777" w:rsidR="00C56620" w:rsidRPr="00C56620" w:rsidRDefault="00C56620" w:rsidP="00DE3841">
      <w:pPr>
        <w:rPr>
          <w:rFonts w:asciiTheme="minorHAnsi" w:hAnsiTheme="minorHAnsi"/>
          <w:sz w:val="22"/>
        </w:rPr>
      </w:pPr>
    </w:p>
    <w:p w14:paraId="595D3320" w14:textId="77777777" w:rsidR="00C56620" w:rsidRPr="00C56620" w:rsidRDefault="00C56620" w:rsidP="00DE3841">
      <w:pPr>
        <w:rPr>
          <w:rFonts w:asciiTheme="minorHAnsi" w:hAnsiTheme="minorHAnsi"/>
          <w:sz w:val="22"/>
        </w:rPr>
      </w:pPr>
    </w:p>
    <w:p w14:paraId="1466A814" w14:textId="77777777" w:rsidR="00C56620" w:rsidRPr="00C56620" w:rsidRDefault="00C56620" w:rsidP="00DE3841">
      <w:pPr>
        <w:rPr>
          <w:rFonts w:asciiTheme="minorHAnsi" w:hAnsiTheme="minorHAnsi"/>
          <w:sz w:val="22"/>
        </w:rPr>
      </w:pPr>
    </w:p>
    <w:p w14:paraId="6C8E89D0" w14:textId="77777777" w:rsidR="00C56620" w:rsidRPr="00C56620" w:rsidRDefault="00C56620" w:rsidP="00DE3841">
      <w:pPr>
        <w:rPr>
          <w:rFonts w:asciiTheme="minorHAnsi" w:hAnsiTheme="minorHAnsi"/>
          <w:sz w:val="22"/>
        </w:rPr>
      </w:pPr>
    </w:p>
    <w:p w14:paraId="3CE9060D" w14:textId="4DF6E98F" w:rsidR="00DE3841" w:rsidRPr="00C56620" w:rsidRDefault="00DE3841" w:rsidP="00DE3841">
      <w:pPr>
        <w:rPr>
          <w:rFonts w:asciiTheme="minorHAnsi" w:hAnsiTheme="minorHAnsi"/>
          <w:sz w:val="22"/>
        </w:rPr>
      </w:pPr>
      <w:r w:rsidRPr="00C56620">
        <w:rPr>
          <w:rFonts w:asciiTheme="minorHAnsi" w:hAnsiTheme="minorHAnsi"/>
          <w:sz w:val="22"/>
        </w:rPr>
        <w:lastRenderedPageBreak/>
        <w:t xml:space="preserve">Table 1:  Summary of EECs in NC-RETS (1 EEC = 1 MWh of energy saved)  </w:t>
      </w:r>
    </w:p>
    <w:p w14:paraId="5299F5EA" w14:textId="77777777" w:rsidR="00DE3841" w:rsidRPr="00C56620" w:rsidRDefault="00DE3841" w:rsidP="00DE3841">
      <w:pPr>
        <w:rPr>
          <w:rFonts w:asciiTheme="minorHAnsi" w:hAnsiTheme="minorHAnsi"/>
          <w:sz w:val="22"/>
        </w:rPr>
      </w:pPr>
    </w:p>
    <w:p w14:paraId="777C0000" w14:textId="3401BF15" w:rsidR="00DE3841" w:rsidRPr="00C56620" w:rsidRDefault="00E26095" w:rsidP="00DE3841">
      <w:pPr>
        <w:rPr>
          <w:rFonts w:asciiTheme="minorHAnsi" w:hAnsiTheme="minorHAnsi"/>
        </w:rPr>
      </w:pPr>
      <w:r w:rsidRPr="00E26095">
        <w:rPr>
          <w:rFonts w:asciiTheme="minorHAnsi" w:hAnsiTheme="minorHAnsi"/>
          <w:noProof/>
        </w:rPr>
        <w:drawing>
          <wp:inline distT="0" distB="0" distL="0" distR="0" wp14:anchorId="420C6218" wp14:editId="26C2E940">
            <wp:extent cx="7052650" cy="2886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77876" cy="2896991"/>
                    </a:xfrm>
                    <a:prstGeom prst="rect">
                      <a:avLst/>
                    </a:prstGeom>
                  </pic:spPr>
                </pic:pic>
              </a:graphicData>
            </a:graphic>
          </wp:inline>
        </w:drawing>
      </w:r>
    </w:p>
    <w:p w14:paraId="6B18F2B7" w14:textId="77777777" w:rsidR="00DE3841" w:rsidRPr="00C56620" w:rsidRDefault="00DE3841" w:rsidP="00DE3841">
      <w:pPr>
        <w:rPr>
          <w:rFonts w:asciiTheme="minorHAnsi" w:hAnsiTheme="minorHAnsi"/>
          <w:sz w:val="20"/>
        </w:rPr>
      </w:pPr>
      <w:r w:rsidRPr="00C56620">
        <w:rPr>
          <w:rFonts w:asciiTheme="minorHAnsi" w:hAnsiTheme="minorHAnsi"/>
          <w:sz w:val="20"/>
        </w:rPr>
        <w:t>Source: North Carolina Renewable Energy Tracking System (NC-RETS)</w:t>
      </w:r>
    </w:p>
    <w:p w14:paraId="41C85985" w14:textId="3E1F2639" w:rsidR="00DE3841" w:rsidRPr="00C56620" w:rsidRDefault="00DE3841" w:rsidP="000F319A">
      <w:pPr>
        <w:rPr>
          <w:rFonts w:asciiTheme="minorHAnsi" w:hAnsiTheme="minorHAnsi"/>
        </w:rPr>
      </w:pPr>
    </w:p>
    <w:p w14:paraId="20C993E3" w14:textId="31D08E51" w:rsidR="00DE3841" w:rsidRPr="00C56620" w:rsidRDefault="00DE3841" w:rsidP="000F319A">
      <w:pPr>
        <w:rPr>
          <w:rFonts w:asciiTheme="minorHAnsi" w:hAnsiTheme="minorHAnsi"/>
        </w:rPr>
      </w:pPr>
      <w:r w:rsidRPr="00C56620">
        <w:rPr>
          <w:rFonts w:asciiTheme="minorHAnsi" w:hAnsiTheme="minorHAnsi"/>
        </w:rPr>
        <w:t>Table 1 summarizes the number of EECs generated by each utility (or group of utilities) in NC since REPS went into effect in 2007. Because EECs can be claimed for the life of the measure, the cumulative amount of EECs tracked in NC-RETs has been increasing as new incremental EE is added to the existing EE measures already in place. However, because the duration of life varies depending on the type of measure (the average life of a CFL might be 5 years, while the average life of an LED might average 10 years), some of these EECs will start to roll off as the measure reaches end of life while other measures will continue to generate EECs.</w:t>
      </w:r>
    </w:p>
    <w:p w14:paraId="2BADE0B8" w14:textId="77777777" w:rsidR="00DE3841" w:rsidRPr="00C56620" w:rsidRDefault="00DE3841" w:rsidP="000F319A">
      <w:pPr>
        <w:rPr>
          <w:rFonts w:asciiTheme="minorHAnsi" w:hAnsiTheme="minorHAnsi"/>
        </w:rPr>
      </w:pPr>
    </w:p>
    <w:p w14:paraId="72A4E0FE" w14:textId="28F07EF6" w:rsidR="0000580C" w:rsidRDefault="006E7561" w:rsidP="000F319A">
      <w:pPr>
        <w:rPr>
          <w:rFonts w:asciiTheme="minorHAnsi" w:hAnsiTheme="minorHAnsi"/>
        </w:rPr>
      </w:pPr>
      <w:r w:rsidRPr="00C56620">
        <w:rPr>
          <w:rFonts w:asciiTheme="minorHAnsi" w:hAnsiTheme="minorHAnsi"/>
        </w:rPr>
        <w:t>Once the measure reaches end of life, the savings (and therefore the number of EECs generated) roll-off. For example, if 1 million CFL lights were installed in 201</w:t>
      </w:r>
      <w:r w:rsidR="00DE3841" w:rsidRPr="00C56620">
        <w:rPr>
          <w:rFonts w:asciiTheme="minorHAnsi" w:hAnsiTheme="minorHAnsi"/>
        </w:rPr>
        <w:t>5</w:t>
      </w:r>
      <w:r w:rsidRPr="00C56620">
        <w:rPr>
          <w:rFonts w:asciiTheme="minorHAnsi" w:hAnsiTheme="minorHAnsi"/>
        </w:rPr>
        <w:t>, the utility would be able to claim EECs for the savings for 5 years (in addition to savings from other measures that still were within their lifespan). In 20</w:t>
      </w:r>
      <w:r w:rsidR="00DE3841" w:rsidRPr="00C56620">
        <w:rPr>
          <w:rFonts w:asciiTheme="minorHAnsi" w:hAnsiTheme="minorHAnsi"/>
        </w:rPr>
        <w:t>20</w:t>
      </w:r>
      <w:r w:rsidRPr="00C56620">
        <w:rPr>
          <w:rFonts w:asciiTheme="minorHAnsi" w:hAnsiTheme="minorHAnsi"/>
        </w:rPr>
        <w:t>, the savings from these 1 million CFLs would roll off. New incremental EE would need to be implemented that is equal to or greater than the savings from the 1 million CFLs in order to maintain the level of EECs generated</w:t>
      </w:r>
      <w:r w:rsidR="009B0F05" w:rsidRPr="00C56620">
        <w:rPr>
          <w:rFonts w:asciiTheme="minorHAnsi" w:hAnsiTheme="minorHAnsi"/>
        </w:rPr>
        <w:t xml:space="preserve"> and available for compliance with REPS.</w:t>
      </w:r>
    </w:p>
    <w:p w14:paraId="2D436C6C" w14:textId="77777777" w:rsidR="005E3ACE" w:rsidRPr="00C56620" w:rsidRDefault="005E3ACE" w:rsidP="000F319A">
      <w:pPr>
        <w:rPr>
          <w:rFonts w:asciiTheme="minorHAnsi" w:hAnsiTheme="minorHAnsi"/>
        </w:rPr>
      </w:pPr>
    </w:p>
    <w:p w14:paraId="6E9804CB" w14:textId="2709D74F" w:rsidR="003E1744" w:rsidRPr="00C56620" w:rsidRDefault="003E1744">
      <w:pPr>
        <w:rPr>
          <w:rFonts w:asciiTheme="minorHAnsi" w:hAnsiTheme="minorHAnsi"/>
          <w:b/>
        </w:rPr>
      </w:pPr>
      <w:r w:rsidRPr="00C56620">
        <w:rPr>
          <w:rFonts w:asciiTheme="minorHAnsi" w:hAnsiTheme="minorHAnsi"/>
          <w:b/>
        </w:rPr>
        <w:lastRenderedPageBreak/>
        <w:t>Annual Retirement of EECs for REPS</w:t>
      </w:r>
    </w:p>
    <w:p w14:paraId="78929A29" w14:textId="5C9AAA02" w:rsidR="003E1744" w:rsidRPr="00C56620" w:rsidRDefault="003E1744">
      <w:pPr>
        <w:rPr>
          <w:rFonts w:asciiTheme="minorHAnsi" w:hAnsiTheme="minorHAnsi"/>
        </w:rPr>
      </w:pPr>
    </w:p>
    <w:p w14:paraId="3479009E" w14:textId="7845280A" w:rsidR="003E1744" w:rsidRPr="00C56620" w:rsidRDefault="007B659F">
      <w:pPr>
        <w:rPr>
          <w:rFonts w:asciiTheme="minorHAnsi" w:hAnsiTheme="minorHAnsi"/>
        </w:rPr>
      </w:pPr>
      <w:r w:rsidRPr="00C56620">
        <w:rPr>
          <w:rFonts w:asciiTheme="minorHAnsi" w:hAnsiTheme="minorHAnsi"/>
        </w:rPr>
        <w:t>Each</w:t>
      </w:r>
      <w:r w:rsidR="003E1744" w:rsidRPr="00C56620">
        <w:rPr>
          <w:rFonts w:asciiTheme="minorHAnsi" w:hAnsiTheme="minorHAnsi"/>
        </w:rPr>
        <w:t xml:space="preserve"> utility can bank </w:t>
      </w:r>
      <w:r w:rsidR="007D1ADC" w:rsidRPr="00C56620">
        <w:rPr>
          <w:rFonts w:asciiTheme="minorHAnsi" w:hAnsiTheme="minorHAnsi"/>
        </w:rPr>
        <w:t xml:space="preserve">the </w:t>
      </w:r>
      <w:r w:rsidR="003E1744" w:rsidRPr="00C56620">
        <w:rPr>
          <w:rFonts w:asciiTheme="minorHAnsi" w:hAnsiTheme="minorHAnsi"/>
        </w:rPr>
        <w:t xml:space="preserve">EECs </w:t>
      </w:r>
      <w:r w:rsidR="007D1ADC" w:rsidRPr="00C56620">
        <w:rPr>
          <w:rFonts w:asciiTheme="minorHAnsi" w:hAnsiTheme="minorHAnsi"/>
        </w:rPr>
        <w:t xml:space="preserve">generated </w:t>
      </w:r>
      <w:r w:rsidR="003E1744" w:rsidRPr="00C56620">
        <w:rPr>
          <w:rFonts w:asciiTheme="minorHAnsi" w:hAnsiTheme="minorHAnsi"/>
        </w:rPr>
        <w:t xml:space="preserve">each year and use them as needed for compliance. The </w:t>
      </w:r>
      <w:r w:rsidR="007D1ADC" w:rsidRPr="00C56620">
        <w:rPr>
          <w:rFonts w:asciiTheme="minorHAnsi" w:hAnsiTheme="minorHAnsi"/>
        </w:rPr>
        <w:t>example below shows the cumulative inventory of RECs for Duke Energy Carolinas, less the EECs used for compliance (or retired) in that year (</w:t>
      </w:r>
      <w:r w:rsidR="005E3ACE">
        <w:rPr>
          <w:rFonts w:asciiTheme="minorHAnsi" w:hAnsiTheme="minorHAnsi"/>
        </w:rPr>
        <w:t xml:space="preserve">up to </w:t>
      </w:r>
      <w:r w:rsidR="007D1ADC" w:rsidRPr="00C56620">
        <w:rPr>
          <w:rFonts w:asciiTheme="minorHAnsi" w:hAnsiTheme="minorHAnsi"/>
        </w:rPr>
        <w:t xml:space="preserve">25% </w:t>
      </w:r>
      <w:r w:rsidR="00E76DFC" w:rsidRPr="00C56620">
        <w:rPr>
          <w:rFonts w:asciiTheme="minorHAnsi" w:hAnsiTheme="minorHAnsi"/>
        </w:rPr>
        <w:t xml:space="preserve">annually </w:t>
      </w:r>
      <w:r w:rsidR="007D1ADC" w:rsidRPr="00C56620">
        <w:rPr>
          <w:rFonts w:asciiTheme="minorHAnsi" w:hAnsiTheme="minorHAnsi"/>
        </w:rPr>
        <w:t xml:space="preserve">through 2021). </w:t>
      </w:r>
    </w:p>
    <w:p w14:paraId="6BEFFA9F" w14:textId="77777777" w:rsidR="003E1744" w:rsidRPr="00C56620" w:rsidRDefault="003E1744">
      <w:pPr>
        <w:rPr>
          <w:rFonts w:asciiTheme="minorHAnsi" w:hAnsiTheme="minorHAnsi"/>
        </w:rPr>
      </w:pPr>
    </w:p>
    <w:p w14:paraId="15640B00" w14:textId="183612F9" w:rsidR="003E1744" w:rsidRPr="00C56620" w:rsidRDefault="003E1744">
      <w:pPr>
        <w:rPr>
          <w:rFonts w:asciiTheme="minorHAnsi" w:hAnsiTheme="minorHAnsi"/>
          <w:sz w:val="22"/>
        </w:rPr>
      </w:pPr>
      <w:r w:rsidRPr="00C56620">
        <w:rPr>
          <w:rFonts w:asciiTheme="minorHAnsi" w:hAnsiTheme="minorHAnsi"/>
          <w:sz w:val="22"/>
        </w:rPr>
        <w:t>Table 2: Example of EEC retirement for REPS Compliance</w:t>
      </w:r>
      <w:r w:rsidR="00E507BD" w:rsidRPr="00C56620">
        <w:rPr>
          <w:rFonts w:asciiTheme="minorHAnsi" w:hAnsiTheme="minorHAnsi"/>
          <w:sz w:val="22"/>
        </w:rPr>
        <w:t xml:space="preserve"> (DEC Only)</w:t>
      </w:r>
    </w:p>
    <w:p w14:paraId="619ED3AF" w14:textId="77777777" w:rsidR="003E1744" w:rsidRPr="00C56620" w:rsidRDefault="003E1744">
      <w:pPr>
        <w:rPr>
          <w:rFonts w:asciiTheme="minorHAnsi" w:hAnsiTheme="minorHAnsi"/>
        </w:rPr>
      </w:pPr>
    </w:p>
    <w:p w14:paraId="316C3C4A" w14:textId="04C0C81F" w:rsidR="003E1744" w:rsidRPr="00C56620" w:rsidRDefault="00721D30">
      <w:pPr>
        <w:rPr>
          <w:rFonts w:asciiTheme="minorHAnsi" w:hAnsiTheme="minorHAnsi"/>
        </w:rPr>
      </w:pPr>
      <w:r w:rsidRPr="00C56620">
        <w:rPr>
          <w:rFonts w:asciiTheme="minorHAnsi" w:hAnsiTheme="minorHAnsi"/>
          <w:noProof/>
        </w:rPr>
        <w:drawing>
          <wp:inline distT="0" distB="0" distL="0" distR="0" wp14:anchorId="72CA0215" wp14:editId="26BCE578">
            <wp:extent cx="8076371" cy="178353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68772" cy="1803937"/>
                    </a:xfrm>
                    <a:prstGeom prst="rect">
                      <a:avLst/>
                    </a:prstGeom>
                  </pic:spPr>
                </pic:pic>
              </a:graphicData>
            </a:graphic>
          </wp:inline>
        </w:drawing>
      </w:r>
    </w:p>
    <w:p w14:paraId="1D7AB161" w14:textId="12FC01CE" w:rsidR="007B659F" w:rsidRPr="00C56620" w:rsidRDefault="007B659F" w:rsidP="007B659F">
      <w:pPr>
        <w:rPr>
          <w:rFonts w:asciiTheme="minorHAnsi" w:hAnsiTheme="minorHAnsi"/>
          <w:sz w:val="18"/>
        </w:rPr>
      </w:pPr>
      <w:r w:rsidRPr="00C56620">
        <w:rPr>
          <w:rFonts w:asciiTheme="minorHAnsi" w:hAnsiTheme="minorHAnsi"/>
          <w:sz w:val="18"/>
        </w:rPr>
        <w:t>Source: North Carolina Renewable Energy Tracking System (NC-RETS)</w:t>
      </w:r>
      <w:r w:rsidR="00721D30" w:rsidRPr="00C56620">
        <w:rPr>
          <w:rFonts w:asciiTheme="minorHAnsi" w:hAnsiTheme="minorHAnsi"/>
          <w:sz w:val="18"/>
        </w:rPr>
        <w:t xml:space="preserve"> and NCUC REPS compliance filings</w:t>
      </w:r>
    </w:p>
    <w:p w14:paraId="3F5819E0" w14:textId="77777777" w:rsidR="007B659F" w:rsidRPr="00C56620" w:rsidRDefault="007B659F">
      <w:pPr>
        <w:rPr>
          <w:rFonts w:asciiTheme="minorHAnsi" w:hAnsiTheme="minorHAnsi"/>
        </w:rPr>
      </w:pPr>
    </w:p>
    <w:p w14:paraId="7A47D7A8" w14:textId="42E9A578" w:rsidR="0000580C" w:rsidRPr="00C56620" w:rsidRDefault="00E76DFC" w:rsidP="004B3AF9">
      <w:pPr>
        <w:rPr>
          <w:rFonts w:asciiTheme="minorHAnsi" w:hAnsiTheme="minorHAnsi"/>
        </w:rPr>
      </w:pPr>
      <w:r w:rsidRPr="00C56620">
        <w:rPr>
          <w:rFonts w:asciiTheme="minorHAnsi" w:hAnsiTheme="minorHAnsi"/>
          <w:b/>
        </w:rPr>
        <w:t xml:space="preserve">Reconciling with </w:t>
      </w:r>
      <w:r w:rsidR="00130906" w:rsidRPr="00C56620">
        <w:rPr>
          <w:rFonts w:asciiTheme="minorHAnsi" w:hAnsiTheme="minorHAnsi"/>
          <w:b/>
        </w:rPr>
        <w:t>Duke Energy’s annual DSM/EE Cost Recovery Rider</w:t>
      </w:r>
      <w:r w:rsidR="0000580C" w:rsidRPr="00C56620">
        <w:rPr>
          <w:rFonts w:asciiTheme="minorHAnsi" w:hAnsiTheme="minorHAnsi"/>
          <w:b/>
        </w:rPr>
        <w:t xml:space="preserve"> </w:t>
      </w:r>
    </w:p>
    <w:p w14:paraId="16BC8372" w14:textId="77777777" w:rsidR="0000580C" w:rsidRPr="00C56620" w:rsidRDefault="0000580C" w:rsidP="004B3AF9">
      <w:pPr>
        <w:rPr>
          <w:rFonts w:asciiTheme="minorHAnsi" w:hAnsiTheme="minorHAnsi"/>
        </w:rPr>
      </w:pPr>
    </w:p>
    <w:p w14:paraId="593EDBBB" w14:textId="145D540C" w:rsidR="00130906" w:rsidRPr="00C56620" w:rsidRDefault="004739B2" w:rsidP="004739B2">
      <w:pPr>
        <w:rPr>
          <w:rFonts w:asciiTheme="minorHAnsi" w:hAnsiTheme="minorHAnsi"/>
        </w:rPr>
      </w:pPr>
      <w:r w:rsidRPr="00C56620">
        <w:rPr>
          <w:rFonts w:asciiTheme="minorHAnsi" w:hAnsiTheme="minorHAnsi"/>
        </w:rPr>
        <w:t xml:space="preserve">The approved cost recovery mechanism from </w:t>
      </w:r>
      <w:r w:rsidRPr="00C56620">
        <w:rPr>
          <w:rFonts w:asciiTheme="minorHAnsi" w:hAnsiTheme="minorHAnsi"/>
          <w:b/>
          <w:i/>
        </w:rPr>
        <w:t>Duke Energy’s annual DSM/EE cost recovery riders</w:t>
      </w:r>
      <w:r w:rsidRPr="00C56620">
        <w:rPr>
          <w:rFonts w:asciiTheme="minorHAnsi" w:hAnsiTheme="minorHAnsi"/>
        </w:rPr>
        <w:t xml:space="preserve"> are designed to allow </w:t>
      </w:r>
      <w:r w:rsidR="00EF4537" w:rsidRPr="00C56620">
        <w:rPr>
          <w:rFonts w:asciiTheme="minorHAnsi" w:hAnsiTheme="minorHAnsi"/>
        </w:rPr>
        <w:t>the utility</w:t>
      </w:r>
      <w:r w:rsidRPr="00C56620">
        <w:rPr>
          <w:rFonts w:asciiTheme="minorHAnsi" w:hAnsiTheme="minorHAnsi"/>
        </w:rPr>
        <w:t xml:space="preserve"> to collect revenue equal to </w:t>
      </w:r>
      <w:r w:rsidRPr="00C56620">
        <w:rPr>
          <w:rFonts w:asciiTheme="minorHAnsi" w:hAnsiTheme="minorHAnsi"/>
          <w:b/>
        </w:rPr>
        <w:t>its incurred program costs</w:t>
      </w:r>
      <w:r w:rsidRPr="00C56620">
        <w:rPr>
          <w:rFonts w:asciiTheme="minorHAnsi" w:hAnsiTheme="minorHAnsi"/>
        </w:rPr>
        <w:t xml:space="preserve"> for a rate period </w:t>
      </w:r>
      <w:r w:rsidRPr="00C56620">
        <w:rPr>
          <w:rFonts w:asciiTheme="minorHAnsi" w:hAnsiTheme="minorHAnsi"/>
          <w:b/>
        </w:rPr>
        <w:t>plus a Portfolio Performance Incentive</w:t>
      </w:r>
      <w:r w:rsidR="007A561E" w:rsidRPr="00C56620">
        <w:rPr>
          <w:rFonts w:asciiTheme="minorHAnsi" w:hAnsiTheme="minorHAnsi"/>
          <w:b/>
        </w:rPr>
        <w:t xml:space="preserve"> (PPI)</w:t>
      </w:r>
      <w:r w:rsidRPr="00C56620">
        <w:rPr>
          <w:rFonts w:asciiTheme="minorHAnsi" w:hAnsiTheme="minorHAnsi"/>
        </w:rPr>
        <w:t xml:space="preserve"> based on shared savings achieved by DEC’s DSM/EE programs, and to recover </w:t>
      </w:r>
      <w:r w:rsidRPr="00C56620">
        <w:rPr>
          <w:rFonts w:asciiTheme="minorHAnsi" w:hAnsiTheme="minorHAnsi"/>
          <w:b/>
        </w:rPr>
        <w:t>net lost revenues</w:t>
      </w:r>
      <w:r w:rsidRPr="00C56620">
        <w:rPr>
          <w:rFonts w:asciiTheme="minorHAnsi" w:hAnsiTheme="minorHAnsi"/>
        </w:rPr>
        <w:t xml:space="preserve"> for EE programs only. </w:t>
      </w:r>
      <w:r w:rsidR="007A561E" w:rsidRPr="00C56620">
        <w:rPr>
          <w:rFonts w:asciiTheme="minorHAnsi" w:hAnsiTheme="minorHAnsi"/>
        </w:rPr>
        <w:t xml:space="preserve">These net lost revenues are based on estimates for the current year and actual true-up (based on EM&amp;V) of lost revenues from prior years. The Company is allowed to recover net lost revenues associated with a particular “vintage” of an EE measure for the lesser of 36 months or the life of the measure. </w:t>
      </w:r>
      <w:r w:rsidRPr="00C56620">
        <w:rPr>
          <w:rFonts w:asciiTheme="minorHAnsi" w:hAnsiTheme="minorHAnsi"/>
        </w:rPr>
        <w:t>It is this lost revenue component (or actual reductions in energy use) which must be reconciled with the EECs reported to NC-RETS.</w:t>
      </w:r>
      <w:r w:rsidR="00130906" w:rsidRPr="00C56620">
        <w:rPr>
          <w:rFonts w:asciiTheme="minorHAnsi" w:hAnsiTheme="minorHAnsi"/>
        </w:rPr>
        <w:t xml:space="preserve"> </w:t>
      </w:r>
    </w:p>
    <w:p w14:paraId="5B6E0329" w14:textId="267C1B94" w:rsidR="007A561E" w:rsidRPr="00C56620" w:rsidRDefault="007A561E" w:rsidP="004739B2">
      <w:pPr>
        <w:rPr>
          <w:rFonts w:asciiTheme="minorHAnsi" w:hAnsiTheme="minorHAnsi"/>
        </w:rPr>
      </w:pPr>
    </w:p>
    <w:p w14:paraId="023AD4E3" w14:textId="77777777" w:rsidR="007A561E" w:rsidRPr="00C56620" w:rsidRDefault="007A561E" w:rsidP="004739B2">
      <w:pPr>
        <w:rPr>
          <w:rFonts w:asciiTheme="minorHAnsi" w:hAnsiTheme="minorHAnsi"/>
        </w:rPr>
      </w:pPr>
    </w:p>
    <w:p w14:paraId="6D9020C6" w14:textId="77777777" w:rsidR="00130906" w:rsidRPr="00C56620" w:rsidRDefault="00130906" w:rsidP="004739B2">
      <w:pPr>
        <w:rPr>
          <w:rFonts w:asciiTheme="minorHAnsi" w:hAnsiTheme="minorHAnsi"/>
        </w:rPr>
      </w:pPr>
    </w:p>
    <w:p w14:paraId="46E7088E" w14:textId="3C3601D0" w:rsidR="004739B2" w:rsidRPr="00C56620" w:rsidRDefault="00130906" w:rsidP="004739B2">
      <w:pPr>
        <w:rPr>
          <w:rFonts w:asciiTheme="minorHAnsi" w:hAnsiTheme="minorHAnsi"/>
        </w:rPr>
      </w:pPr>
      <w:r w:rsidRPr="00C56620">
        <w:rPr>
          <w:rFonts w:asciiTheme="minorHAnsi" w:hAnsiTheme="minorHAnsi"/>
        </w:rPr>
        <w:lastRenderedPageBreak/>
        <w:t xml:space="preserve">There are three primary differences between what is reported in NC-RETS </w:t>
      </w:r>
      <w:r w:rsidR="00E4348B" w:rsidRPr="00C56620">
        <w:rPr>
          <w:rFonts w:asciiTheme="minorHAnsi" w:hAnsiTheme="minorHAnsi"/>
        </w:rPr>
        <w:t xml:space="preserve">for REPS compliance </w:t>
      </w:r>
      <w:r w:rsidRPr="00C56620">
        <w:rPr>
          <w:rFonts w:asciiTheme="minorHAnsi" w:hAnsiTheme="minorHAnsi"/>
        </w:rPr>
        <w:t>and what is reported in the DSM/EE Rider:</w:t>
      </w:r>
    </w:p>
    <w:p w14:paraId="7FD10116" w14:textId="10239F9B" w:rsidR="00E4348B" w:rsidRPr="00C56620" w:rsidRDefault="00E4348B" w:rsidP="004739B2">
      <w:pPr>
        <w:rPr>
          <w:rFonts w:asciiTheme="minorHAnsi" w:hAnsiTheme="minorHAnsi"/>
        </w:rPr>
      </w:pPr>
    </w:p>
    <w:p w14:paraId="7C1B3BE6" w14:textId="736A8068" w:rsidR="00B14633" w:rsidRPr="00C56620" w:rsidRDefault="00B14633" w:rsidP="00E4348B">
      <w:pPr>
        <w:pStyle w:val="ListParagraph"/>
        <w:numPr>
          <w:ilvl w:val="0"/>
          <w:numId w:val="5"/>
        </w:numPr>
      </w:pPr>
      <w:r w:rsidRPr="00C56620">
        <w:t xml:space="preserve">The DSM/EE Rider calculates the energy savings based on </w:t>
      </w:r>
      <w:r w:rsidRPr="00C56620">
        <w:rPr>
          <w:b/>
        </w:rPr>
        <w:t>incremental savings</w:t>
      </w:r>
      <w:r w:rsidRPr="00C56620">
        <w:t xml:space="preserve"> in one year. The EECs tracked for REPS compliance include </w:t>
      </w:r>
      <w:r w:rsidRPr="00C56620">
        <w:rPr>
          <w:b/>
        </w:rPr>
        <w:t>cumulative savings</w:t>
      </w:r>
      <w:r w:rsidRPr="00C56620">
        <w:t xml:space="preserve"> over the life of the measure.</w:t>
      </w:r>
    </w:p>
    <w:p w14:paraId="617CDB91" w14:textId="707845CF" w:rsidR="00E4348B" w:rsidRPr="00C56620" w:rsidRDefault="00E4348B" w:rsidP="00E4348B">
      <w:pPr>
        <w:pStyle w:val="ListParagraph"/>
        <w:numPr>
          <w:ilvl w:val="0"/>
          <w:numId w:val="5"/>
        </w:numPr>
      </w:pPr>
      <w:r w:rsidRPr="00C56620">
        <w:t xml:space="preserve">The DSM/EE Rider only counts </w:t>
      </w:r>
      <w:r w:rsidRPr="00C56620">
        <w:rPr>
          <w:b/>
        </w:rPr>
        <w:t>net energy savings</w:t>
      </w:r>
      <w:r w:rsidRPr="00C56620">
        <w:t xml:space="preserve"> (net of free-ridership, or someone who would have install an energy-efficiency measure without any program incentives because of the return on investment of the </w:t>
      </w:r>
      <w:r w:rsidR="00B14633" w:rsidRPr="00C56620">
        <w:t>measure but</w:t>
      </w:r>
      <w:r w:rsidRPr="00C56620">
        <w:t xml:space="preserve"> receives a financial incentive or rebate anyway). The EECs tracked for REPS compliance counts </w:t>
      </w:r>
      <w:r w:rsidRPr="00C56620">
        <w:rPr>
          <w:b/>
        </w:rPr>
        <w:t>gross savings</w:t>
      </w:r>
      <w:r w:rsidRPr="00C56620">
        <w:t xml:space="preserve"> (and includes free-ridership).</w:t>
      </w:r>
    </w:p>
    <w:p w14:paraId="0B5C724A" w14:textId="1D0B90A1" w:rsidR="00B14633" w:rsidRPr="00C56620" w:rsidRDefault="00B14633" w:rsidP="00B14633">
      <w:pPr>
        <w:pStyle w:val="ListParagraph"/>
        <w:numPr>
          <w:ilvl w:val="0"/>
          <w:numId w:val="5"/>
        </w:numPr>
      </w:pPr>
      <w:r w:rsidRPr="00C56620">
        <w:t>The DSM/EE Rider accounts for line losses from the generating plant to the end user (</w:t>
      </w:r>
      <w:r w:rsidRPr="00C56620">
        <w:rPr>
          <w:b/>
        </w:rPr>
        <w:t>energy savings are calculated at the meter</w:t>
      </w:r>
      <w:r w:rsidRPr="00C56620">
        <w:t xml:space="preserve">). The EECs tracked for REPS compliance accounts for </w:t>
      </w:r>
      <w:r w:rsidRPr="00C56620">
        <w:rPr>
          <w:b/>
        </w:rPr>
        <w:t>energy savings at the generating plant</w:t>
      </w:r>
      <w:r w:rsidR="0058458B" w:rsidRPr="00C56620">
        <w:rPr>
          <w:b/>
        </w:rPr>
        <w:t>.</w:t>
      </w:r>
    </w:p>
    <w:p w14:paraId="196C9A5A" w14:textId="766A3CD8" w:rsidR="00130906" w:rsidRPr="00C56620" w:rsidRDefault="00130906" w:rsidP="004739B2">
      <w:pPr>
        <w:rPr>
          <w:rFonts w:asciiTheme="minorHAnsi" w:hAnsiTheme="minorHAnsi"/>
        </w:rPr>
      </w:pPr>
    </w:p>
    <w:p w14:paraId="64AD159D" w14:textId="1EA180D3" w:rsidR="00130906" w:rsidRPr="00C56620" w:rsidRDefault="00B14633" w:rsidP="004739B2">
      <w:pPr>
        <w:rPr>
          <w:rFonts w:asciiTheme="minorHAnsi" w:hAnsiTheme="minorHAnsi"/>
        </w:rPr>
      </w:pPr>
      <w:r w:rsidRPr="00C56620">
        <w:rPr>
          <w:rFonts w:asciiTheme="minorHAnsi" w:hAnsiTheme="minorHAnsi"/>
        </w:rPr>
        <w:t>An example of this reconciliation is outlined below:</w:t>
      </w:r>
    </w:p>
    <w:p w14:paraId="34D7DCD9" w14:textId="5840322B" w:rsidR="00B14633" w:rsidRPr="00C56620" w:rsidRDefault="00B14633" w:rsidP="004739B2">
      <w:pPr>
        <w:rPr>
          <w:rFonts w:asciiTheme="minorHAnsi" w:hAnsiTheme="minorHAnsi"/>
        </w:rPr>
      </w:pPr>
    </w:p>
    <w:p w14:paraId="31D18472" w14:textId="503BA81C" w:rsidR="00B14633" w:rsidRPr="00C56620" w:rsidRDefault="00B14633" w:rsidP="004739B2">
      <w:pPr>
        <w:rPr>
          <w:rFonts w:asciiTheme="minorHAnsi" w:hAnsiTheme="minorHAnsi"/>
        </w:rPr>
      </w:pPr>
      <w:r w:rsidRPr="00C56620">
        <w:rPr>
          <w:rFonts w:asciiTheme="minorHAnsi" w:hAnsiTheme="minorHAnsi"/>
        </w:rPr>
        <w:t>Table 3: RECs to Lost Revenue Reconciliation</w:t>
      </w:r>
      <w:r w:rsidR="007206C8" w:rsidRPr="00C56620">
        <w:rPr>
          <w:rFonts w:asciiTheme="minorHAnsi" w:hAnsiTheme="minorHAnsi"/>
        </w:rPr>
        <w:t xml:space="preserve"> (DEC Only)</w:t>
      </w:r>
    </w:p>
    <w:p w14:paraId="06177439" w14:textId="4CD26AB9" w:rsidR="00B14633" w:rsidRPr="00C56620" w:rsidRDefault="00B14633" w:rsidP="004739B2">
      <w:pPr>
        <w:rPr>
          <w:rFonts w:asciiTheme="minorHAnsi" w:hAnsiTheme="minorHAnsi"/>
        </w:rPr>
      </w:pPr>
    </w:p>
    <w:p w14:paraId="3F552801" w14:textId="73714D9C" w:rsidR="00B14633" w:rsidRPr="00C56620" w:rsidRDefault="007206C8" w:rsidP="004739B2">
      <w:pPr>
        <w:rPr>
          <w:rFonts w:asciiTheme="minorHAnsi" w:hAnsiTheme="minorHAnsi"/>
        </w:rPr>
      </w:pPr>
      <w:r w:rsidRPr="00C56620">
        <w:rPr>
          <w:rFonts w:asciiTheme="minorHAnsi" w:hAnsiTheme="minorHAnsi"/>
          <w:noProof/>
        </w:rPr>
        <w:drawing>
          <wp:inline distT="0" distB="0" distL="0" distR="0" wp14:anchorId="5CBB47E4" wp14:editId="17C1D72A">
            <wp:extent cx="5181600" cy="143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600" cy="1435100"/>
                    </a:xfrm>
                    <a:prstGeom prst="rect">
                      <a:avLst/>
                    </a:prstGeom>
                  </pic:spPr>
                </pic:pic>
              </a:graphicData>
            </a:graphic>
          </wp:inline>
        </w:drawing>
      </w:r>
    </w:p>
    <w:p w14:paraId="4D9B5960" w14:textId="2605ACF5" w:rsidR="0058458B" w:rsidRPr="00C56620" w:rsidRDefault="009664B6" w:rsidP="004B3AF9">
      <w:pPr>
        <w:rPr>
          <w:rFonts w:asciiTheme="minorHAnsi" w:hAnsiTheme="minorHAnsi"/>
          <w:sz w:val="21"/>
        </w:rPr>
      </w:pPr>
      <w:r w:rsidRPr="00C56620">
        <w:rPr>
          <w:rFonts w:asciiTheme="minorHAnsi" w:hAnsiTheme="minorHAnsi"/>
          <w:sz w:val="21"/>
        </w:rPr>
        <w:t>Source: Duke Energy</w:t>
      </w:r>
    </w:p>
    <w:p w14:paraId="079FB444" w14:textId="77777777" w:rsidR="0058458B" w:rsidRPr="00C56620" w:rsidRDefault="0058458B" w:rsidP="004B3AF9">
      <w:pPr>
        <w:rPr>
          <w:rFonts w:asciiTheme="minorHAnsi" w:hAnsiTheme="minorHAnsi"/>
          <w:b/>
        </w:rPr>
      </w:pPr>
    </w:p>
    <w:p w14:paraId="32E266F8" w14:textId="77777777" w:rsidR="007A561E" w:rsidRPr="00C56620" w:rsidRDefault="007A561E">
      <w:pPr>
        <w:rPr>
          <w:rFonts w:asciiTheme="minorHAnsi" w:hAnsiTheme="minorHAnsi"/>
          <w:b/>
        </w:rPr>
      </w:pPr>
      <w:r w:rsidRPr="00C56620">
        <w:rPr>
          <w:rFonts w:asciiTheme="minorHAnsi" w:hAnsiTheme="minorHAnsi"/>
          <w:b/>
        </w:rPr>
        <w:br w:type="page"/>
      </w:r>
    </w:p>
    <w:p w14:paraId="5B10398E" w14:textId="2C7F1CB2" w:rsidR="0000580C" w:rsidRPr="00C56620" w:rsidRDefault="009664B6" w:rsidP="004B3AF9">
      <w:pPr>
        <w:rPr>
          <w:rFonts w:asciiTheme="minorHAnsi" w:hAnsiTheme="minorHAnsi"/>
          <w:b/>
        </w:rPr>
      </w:pPr>
      <w:r w:rsidRPr="00C56620">
        <w:rPr>
          <w:rFonts w:asciiTheme="minorHAnsi" w:hAnsiTheme="minorHAnsi"/>
          <w:b/>
        </w:rPr>
        <w:lastRenderedPageBreak/>
        <w:t>Observations / Questions</w:t>
      </w:r>
    </w:p>
    <w:p w14:paraId="237C9B81" w14:textId="77777777" w:rsidR="007A561E" w:rsidRPr="00C56620" w:rsidRDefault="007A561E" w:rsidP="004B3AF9">
      <w:pPr>
        <w:rPr>
          <w:rFonts w:asciiTheme="minorHAnsi" w:hAnsiTheme="minorHAnsi"/>
          <w:b/>
        </w:rPr>
      </w:pPr>
    </w:p>
    <w:p w14:paraId="0B1DA409" w14:textId="7AAE01DF" w:rsidR="0000580C" w:rsidRPr="00C56620" w:rsidRDefault="009664B6" w:rsidP="009664B6">
      <w:pPr>
        <w:pStyle w:val="ListParagraph"/>
        <w:numPr>
          <w:ilvl w:val="0"/>
          <w:numId w:val="6"/>
        </w:numPr>
      </w:pPr>
      <w:r w:rsidRPr="00C56620">
        <w:t>What is important for NC to track? Is it cumulative energy savings or incremental annually?</w:t>
      </w:r>
    </w:p>
    <w:p w14:paraId="008AD149" w14:textId="50631B4E" w:rsidR="009664B6" w:rsidRPr="00C56620" w:rsidRDefault="009664B6" w:rsidP="009664B6">
      <w:pPr>
        <w:pStyle w:val="ListParagraph"/>
        <w:numPr>
          <w:ilvl w:val="0"/>
          <w:numId w:val="6"/>
        </w:numPr>
      </w:pPr>
      <w:r w:rsidRPr="00C56620">
        <w:t xml:space="preserve">If cumulative, are we comfortable with gross energy savings (includes free-ridership and </w:t>
      </w:r>
      <w:r w:rsidR="007A561E" w:rsidRPr="00C56620">
        <w:t xml:space="preserve">does not account for </w:t>
      </w:r>
      <w:r w:rsidRPr="00C56620">
        <w:t>line losses)</w:t>
      </w:r>
      <w:r w:rsidR="0058458B" w:rsidRPr="00C56620">
        <w:t>?</w:t>
      </w:r>
    </w:p>
    <w:p w14:paraId="5E0A29CE" w14:textId="19DCA3D4" w:rsidR="0058458B" w:rsidRDefault="0058458B" w:rsidP="009664B6">
      <w:pPr>
        <w:pStyle w:val="ListParagraph"/>
        <w:numPr>
          <w:ilvl w:val="0"/>
          <w:numId w:val="6"/>
        </w:numPr>
      </w:pPr>
      <w:r w:rsidRPr="00C56620">
        <w:t xml:space="preserve">Since EE is voluntary today in REPS, what is the effect of creating a floor (i.e. requirement that </w:t>
      </w:r>
      <w:r w:rsidR="005E3ACE" w:rsidRPr="005E3ACE">
        <w:rPr>
          <w:b/>
        </w:rPr>
        <w:t xml:space="preserve">at least </w:t>
      </w:r>
      <w:r w:rsidRPr="005E3ACE">
        <w:rPr>
          <w:b/>
        </w:rPr>
        <w:t>40%</w:t>
      </w:r>
      <w:r w:rsidRPr="00C56620">
        <w:t xml:space="preserve"> of REPS requirement must be EE to be compliant in 2021). </w:t>
      </w:r>
      <w:r w:rsidR="007A561E" w:rsidRPr="00C56620">
        <w:t xml:space="preserve">See table </w:t>
      </w:r>
      <w:r w:rsidR="00544A5C">
        <w:t xml:space="preserve">4 </w:t>
      </w:r>
      <w:r w:rsidR="007A561E" w:rsidRPr="00C56620">
        <w:t>below for what this might look like for DEC.</w:t>
      </w:r>
    </w:p>
    <w:p w14:paraId="1E20A240" w14:textId="5E9CB1DC" w:rsidR="00544A5C" w:rsidRPr="00C56620" w:rsidRDefault="00544A5C" w:rsidP="009664B6">
      <w:pPr>
        <w:pStyle w:val="ListParagraph"/>
        <w:numPr>
          <w:ilvl w:val="0"/>
          <w:numId w:val="6"/>
        </w:numPr>
      </w:pPr>
      <w:r>
        <w:t>Since lighting measures make up the majority of utility EE savings to date, how do we continue to encourage other types of EE (to offset the roll off of savings from lighting EE)?</w:t>
      </w:r>
    </w:p>
    <w:p w14:paraId="1A884D9F" w14:textId="065CC528" w:rsidR="009664B6" w:rsidRPr="00C56620" w:rsidRDefault="009664B6" w:rsidP="009664B6">
      <w:pPr>
        <w:pStyle w:val="ListParagraph"/>
        <w:numPr>
          <w:ilvl w:val="0"/>
          <w:numId w:val="6"/>
        </w:numPr>
      </w:pPr>
      <w:r w:rsidRPr="00C56620">
        <w:t>Since EM&amp;V is expensive (especially for co-ops and munis), how do we aggregate the EM&amp;V (possibly from a third party)</w:t>
      </w:r>
      <w:r w:rsidR="005E3ACE">
        <w:t xml:space="preserve"> or utilize deemed savings</w:t>
      </w:r>
      <w:r w:rsidRPr="00C56620">
        <w:t xml:space="preserve"> to increase </w:t>
      </w:r>
      <w:r w:rsidR="00EB3D47" w:rsidRPr="00C56620">
        <w:t xml:space="preserve">cooperative and municipal </w:t>
      </w:r>
      <w:r w:rsidRPr="00C56620">
        <w:t>utility participation in EE programs</w:t>
      </w:r>
      <w:r w:rsidR="00EB3D47" w:rsidRPr="00C56620">
        <w:t>?</w:t>
      </w:r>
    </w:p>
    <w:p w14:paraId="465BE1D6" w14:textId="77777777" w:rsidR="007A561E" w:rsidRPr="00C56620" w:rsidRDefault="007A561E" w:rsidP="007A561E">
      <w:pPr>
        <w:pStyle w:val="ListParagraph"/>
      </w:pPr>
    </w:p>
    <w:p w14:paraId="1AAD562E" w14:textId="29D372BA" w:rsidR="007A561E" w:rsidRPr="007A561E" w:rsidRDefault="007A561E" w:rsidP="007A561E">
      <w:pPr>
        <w:rPr>
          <w:rFonts w:asciiTheme="minorHAnsi" w:hAnsiTheme="minorHAnsi"/>
        </w:rPr>
      </w:pPr>
      <w:r w:rsidRPr="007A561E">
        <w:rPr>
          <w:rFonts w:asciiTheme="minorHAnsi" w:hAnsiTheme="minorHAnsi"/>
        </w:rPr>
        <w:t xml:space="preserve">Table </w:t>
      </w:r>
      <w:r w:rsidRPr="00C56620">
        <w:rPr>
          <w:rFonts w:asciiTheme="minorHAnsi" w:hAnsiTheme="minorHAnsi"/>
        </w:rPr>
        <w:t>4</w:t>
      </w:r>
      <w:r w:rsidRPr="007A561E">
        <w:rPr>
          <w:rFonts w:asciiTheme="minorHAnsi" w:hAnsiTheme="minorHAnsi"/>
        </w:rPr>
        <w:t xml:space="preserve">: Example of EEC </w:t>
      </w:r>
      <w:r w:rsidRPr="00C56620">
        <w:rPr>
          <w:rFonts w:asciiTheme="minorHAnsi" w:hAnsiTheme="minorHAnsi"/>
        </w:rPr>
        <w:t>“floor”</w:t>
      </w:r>
      <w:r w:rsidRPr="007A561E">
        <w:rPr>
          <w:rFonts w:asciiTheme="minorHAnsi" w:hAnsiTheme="minorHAnsi"/>
        </w:rPr>
        <w:t xml:space="preserve"> for REPS Compliance (DEC Only)</w:t>
      </w:r>
    </w:p>
    <w:p w14:paraId="3930196B" w14:textId="77777777" w:rsidR="007A561E" w:rsidRPr="00C56620" w:rsidRDefault="007A561E">
      <w:pPr>
        <w:rPr>
          <w:rFonts w:asciiTheme="minorHAnsi" w:hAnsiTheme="minorHAnsi"/>
        </w:rPr>
      </w:pPr>
    </w:p>
    <w:p w14:paraId="3A0ABBCE" w14:textId="55E1230F" w:rsidR="00416E4F" w:rsidRPr="00C56620" w:rsidRDefault="00135306">
      <w:pPr>
        <w:rPr>
          <w:rFonts w:asciiTheme="minorHAnsi" w:hAnsiTheme="minorHAnsi"/>
        </w:rPr>
      </w:pPr>
      <w:r w:rsidRPr="00C56620">
        <w:rPr>
          <w:rFonts w:asciiTheme="minorHAnsi" w:hAnsiTheme="minorHAnsi"/>
          <w:noProof/>
        </w:rPr>
        <w:drawing>
          <wp:inline distT="0" distB="0" distL="0" distR="0" wp14:anchorId="390AEA97" wp14:editId="58DB6557">
            <wp:extent cx="7970493" cy="25078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55973" cy="2534705"/>
                    </a:xfrm>
                    <a:prstGeom prst="rect">
                      <a:avLst/>
                    </a:prstGeom>
                  </pic:spPr>
                </pic:pic>
              </a:graphicData>
            </a:graphic>
          </wp:inline>
        </w:drawing>
      </w:r>
    </w:p>
    <w:p w14:paraId="730D7FF4" w14:textId="671BB1C1" w:rsidR="00135306" w:rsidRPr="00C56620" w:rsidRDefault="00135306" w:rsidP="00135306">
      <w:pPr>
        <w:rPr>
          <w:rFonts w:asciiTheme="minorHAnsi" w:hAnsiTheme="minorHAnsi"/>
          <w:sz w:val="18"/>
        </w:rPr>
      </w:pPr>
      <w:r w:rsidRPr="00C56620">
        <w:rPr>
          <w:rFonts w:asciiTheme="minorHAnsi" w:hAnsiTheme="minorHAnsi"/>
          <w:sz w:val="18"/>
        </w:rPr>
        <w:t>Source: North Carolina Renewable Energy Tracking System (NC-RETS) and Duke Energy Carolina</w:t>
      </w:r>
      <w:r w:rsidR="007A561E" w:rsidRPr="00C56620">
        <w:rPr>
          <w:rFonts w:asciiTheme="minorHAnsi" w:hAnsiTheme="minorHAnsi"/>
          <w:sz w:val="18"/>
        </w:rPr>
        <w:t>s</w:t>
      </w:r>
      <w:r w:rsidRPr="00C56620">
        <w:rPr>
          <w:rFonts w:asciiTheme="minorHAnsi" w:hAnsiTheme="minorHAnsi"/>
          <w:sz w:val="18"/>
        </w:rPr>
        <w:t xml:space="preserve"> 2018 IRP (E-</w:t>
      </w:r>
      <w:r w:rsidR="007A561E" w:rsidRPr="00C56620">
        <w:rPr>
          <w:rFonts w:asciiTheme="minorHAnsi" w:hAnsiTheme="minorHAnsi"/>
          <w:sz w:val="18"/>
        </w:rPr>
        <w:t>100</w:t>
      </w:r>
      <w:r w:rsidRPr="00C56620">
        <w:rPr>
          <w:rFonts w:asciiTheme="minorHAnsi" w:hAnsiTheme="minorHAnsi"/>
          <w:sz w:val="18"/>
        </w:rPr>
        <w:t xml:space="preserve">, Sub </w:t>
      </w:r>
      <w:r w:rsidR="007A561E" w:rsidRPr="00C56620">
        <w:rPr>
          <w:rFonts w:asciiTheme="minorHAnsi" w:hAnsiTheme="minorHAnsi"/>
          <w:sz w:val="18"/>
        </w:rPr>
        <w:t>157)</w:t>
      </w:r>
    </w:p>
    <w:p w14:paraId="3770EE34" w14:textId="65045A6A" w:rsidR="0099100F" w:rsidRPr="00C56620" w:rsidRDefault="0099100F">
      <w:pPr>
        <w:rPr>
          <w:rFonts w:asciiTheme="minorHAnsi" w:hAnsiTheme="minorHAnsi"/>
        </w:rPr>
      </w:pPr>
    </w:p>
    <w:p w14:paraId="77AF8DBA" w14:textId="52C0CE69" w:rsidR="0058458B" w:rsidRPr="00C56620" w:rsidRDefault="0099100F" w:rsidP="0058458B">
      <w:pPr>
        <w:rPr>
          <w:rFonts w:asciiTheme="minorHAnsi" w:hAnsiTheme="minorHAnsi"/>
        </w:rPr>
      </w:pPr>
      <w:r w:rsidRPr="00C56620">
        <w:rPr>
          <w:rFonts w:asciiTheme="minorHAnsi" w:hAnsiTheme="minorHAnsi"/>
        </w:rPr>
        <w:t xml:space="preserve"> </w:t>
      </w:r>
    </w:p>
    <w:p w14:paraId="034F0723" w14:textId="14D34735" w:rsidR="00416E4F" w:rsidRPr="00C56620" w:rsidRDefault="00416E4F">
      <w:pPr>
        <w:rPr>
          <w:rFonts w:asciiTheme="minorHAnsi" w:hAnsiTheme="minorHAnsi"/>
        </w:rPr>
      </w:pPr>
    </w:p>
    <w:sectPr w:rsidR="00416E4F" w:rsidRPr="00C56620" w:rsidSect="001353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23D"/>
    <w:multiLevelType w:val="hybridMultilevel"/>
    <w:tmpl w:val="362494B4"/>
    <w:lvl w:ilvl="0" w:tplc="40542E4E">
      <w:start w:val="1"/>
      <w:numFmt w:val="bullet"/>
      <w:lvlText w:val="•"/>
      <w:lvlJc w:val="left"/>
      <w:pPr>
        <w:tabs>
          <w:tab w:val="num" w:pos="720"/>
        </w:tabs>
        <w:ind w:left="720" w:hanging="360"/>
      </w:pPr>
      <w:rPr>
        <w:rFonts w:ascii="Arial" w:hAnsi="Arial" w:hint="default"/>
      </w:rPr>
    </w:lvl>
    <w:lvl w:ilvl="1" w:tplc="BE44F1E6">
      <w:start w:val="97"/>
      <w:numFmt w:val="bullet"/>
      <w:lvlText w:val="–"/>
      <w:lvlJc w:val="left"/>
      <w:pPr>
        <w:tabs>
          <w:tab w:val="num" w:pos="1440"/>
        </w:tabs>
        <w:ind w:left="1440" w:hanging="360"/>
      </w:pPr>
      <w:rPr>
        <w:rFonts w:ascii="Arial" w:hAnsi="Arial" w:hint="default"/>
      </w:rPr>
    </w:lvl>
    <w:lvl w:ilvl="2" w:tplc="B242101C" w:tentative="1">
      <w:start w:val="1"/>
      <w:numFmt w:val="bullet"/>
      <w:lvlText w:val="•"/>
      <w:lvlJc w:val="left"/>
      <w:pPr>
        <w:tabs>
          <w:tab w:val="num" w:pos="2160"/>
        </w:tabs>
        <w:ind w:left="2160" w:hanging="360"/>
      </w:pPr>
      <w:rPr>
        <w:rFonts w:ascii="Arial" w:hAnsi="Arial" w:hint="default"/>
      </w:rPr>
    </w:lvl>
    <w:lvl w:ilvl="3" w:tplc="7C94DE52" w:tentative="1">
      <w:start w:val="1"/>
      <w:numFmt w:val="bullet"/>
      <w:lvlText w:val="•"/>
      <w:lvlJc w:val="left"/>
      <w:pPr>
        <w:tabs>
          <w:tab w:val="num" w:pos="2880"/>
        </w:tabs>
        <w:ind w:left="2880" w:hanging="360"/>
      </w:pPr>
      <w:rPr>
        <w:rFonts w:ascii="Arial" w:hAnsi="Arial" w:hint="default"/>
      </w:rPr>
    </w:lvl>
    <w:lvl w:ilvl="4" w:tplc="7C460FEA" w:tentative="1">
      <w:start w:val="1"/>
      <w:numFmt w:val="bullet"/>
      <w:lvlText w:val="•"/>
      <w:lvlJc w:val="left"/>
      <w:pPr>
        <w:tabs>
          <w:tab w:val="num" w:pos="3600"/>
        </w:tabs>
        <w:ind w:left="3600" w:hanging="360"/>
      </w:pPr>
      <w:rPr>
        <w:rFonts w:ascii="Arial" w:hAnsi="Arial" w:hint="default"/>
      </w:rPr>
    </w:lvl>
    <w:lvl w:ilvl="5" w:tplc="E820D4B8" w:tentative="1">
      <w:start w:val="1"/>
      <w:numFmt w:val="bullet"/>
      <w:lvlText w:val="•"/>
      <w:lvlJc w:val="left"/>
      <w:pPr>
        <w:tabs>
          <w:tab w:val="num" w:pos="4320"/>
        </w:tabs>
        <w:ind w:left="4320" w:hanging="360"/>
      </w:pPr>
      <w:rPr>
        <w:rFonts w:ascii="Arial" w:hAnsi="Arial" w:hint="default"/>
      </w:rPr>
    </w:lvl>
    <w:lvl w:ilvl="6" w:tplc="19900278" w:tentative="1">
      <w:start w:val="1"/>
      <w:numFmt w:val="bullet"/>
      <w:lvlText w:val="•"/>
      <w:lvlJc w:val="left"/>
      <w:pPr>
        <w:tabs>
          <w:tab w:val="num" w:pos="5040"/>
        </w:tabs>
        <w:ind w:left="5040" w:hanging="360"/>
      </w:pPr>
      <w:rPr>
        <w:rFonts w:ascii="Arial" w:hAnsi="Arial" w:hint="default"/>
      </w:rPr>
    </w:lvl>
    <w:lvl w:ilvl="7" w:tplc="FDF6724C" w:tentative="1">
      <w:start w:val="1"/>
      <w:numFmt w:val="bullet"/>
      <w:lvlText w:val="•"/>
      <w:lvlJc w:val="left"/>
      <w:pPr>
        <w:tabs>
          <w:tab w:val="num" w:pos="5760"/>
        </w:tabs>
        <w:ind w:left="5760" w:hanging="360"/>
      </w:pPr>
      <w:rPr>
        <w:rFonts w:ascii="Arial" w:hAnsi="Arial" w:hint="default"/>
      </w:rPr>
    </w:lvl>
    <w:lvl w:ilvl="8" w:tplc="309AF8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FF498F"/>
    <w:multiLevelType w:val="hybridMultilevel"/>
    <w:tmpl w:val="5B8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2F7F"/>
    <w:multiLevelType w:val="hybridMultilevel"/>
    <w:tmpl w:val="BB52B02A"/>
    <w:lvl w:ilvl="0" w:tplc="EB1628B8">
      <w:start w:val="1"/>
      <w:numFmt w:val="bullet"/>
      <w:lvlText w:val="•"/>
      <w:lvlJc w:val="left"/>
      <w:pPr>
        <w:tabs>
          <w:tab w:val="num" w:pos="720"/>
        </w:tabs>
        <w:ind w:left="720" w:hanging="360"/>
      </w:pPr>
      <w:rPr>
        <w:rFonts w:ascii="Arial" w:hAnsi="Arial" w:hint="default"/>
      </w:rPr>
    </w:lvl>
    <w:lvl w:ilvl="1" w:tplc="8250BFD2" w:tentative="1">
      <w:start w:val="1"/>
      <w:numFmt w:val="bullet"/>
      <w:lvlText w:val="•"/>
      <w:lvlJc w:val="left"/>
      <w:pPr>
        <w:tabs>
          <w:tab w:val="num" w:pos="1440"/>
        </w:tabs>
        <w:ind w:left="1440" w:hanging="360"/>
      </w:pPr>
      <w:rPr>
        <w:rFonts w:ascii="Arial" w:hAnsi="Arial" w:hint="default"/>
      </w:rPr>
    </w:lvl>
    <w:lvl w:ilvl="2" w:tplc="6C9ADEB0" w:tentative="1">
      <w:start w:val="1"/>
      <w:numFmt w:val="bullet"/>
      <w:lvlText w:val="•"/>
      <w:lvlJc w:val="left"/>
      <w:pPr>
        <w:tabs>
          <w:tab w:val="num" w:pos="2160"/>
        </w:tabs>
        <w:ind w:left="2160" w:hanging="360"/>
      </w:pPr>
      <w:rPr>
        <w:rFonts w:ascii="Arial" w:hAnsi="Arial" w:hint="default"/>
      </w:rPr>
    </w:lvl>
    <w:lvl w:ilvl="3" w:tplc="A566E14A" w:tentative="1">
      <w:start w:val="1"/>
      <w:numFmt w:val="bullet"/>
      <w:lvlText w:val="•"/>
      <w:lvlJc w:val="left"/>
      <w:pPr>
        <w:tabs>
          <w:tab w:val="num" w:pos="2880"/>
        </w:tabs>
        <w:ind w:left="2880" w:hanging="360"/>
      </w:pPr>
      <w:rPr>
        <w:rFonts w:ascii="Arial" w:hAnsi="Arial" w:hint="default"/>
      </w:rPr>
    </w:lvl>
    <w:lvl w:ilvl="4" w:tplc="93B4001A" w:tentative="1">
      <w:start w:val="1"/>
      <w:numFmt w:val="bullet"/>
      <w:lvlText w:val="•"/>
      <w:lvlJc w:val="left"/>
      <w:pPr>
        <w:tabs>
          <w:tab w:val="num" w:pos="3600"/>
        </w:tabs>
        <w:ind w:left="3600" w:hanging="360"/>
      </w:pPr>
      <w:rPr>
        <w:rFonts w:ascii="Arial" w:hAnsi="Arial" w:hint="default"/>
      </w:rPr>
    </w:lvl>
    <w:lvl w:ilvl="5" w:tplc="1CDEF97A" w:tentative="1">
      <w:start w:val="1"/>
      <w:numFmt w:val="bullet"/>
      <w:lvlText w:val="•"/>
      <w:lvlJc w:val="left"/>
      <w:pPr>
        <w:tabs>
          <w:tab w:val="num" w:pos="4320"/>
        </w:tabs>
        <w:ind w:left="4320" w:hanging="360"/>
      </w:pPr>
      <w:rPr>
        <w:rFonts w:ascii="Arial" w:hAnsi="Arial" w:hint="default"/>
      </w:rPr>
    </w:lvl>
    <w:lvl w:ilvl="6" w:tplc="4E3A54E2" w:tentative="1">
      <w:start w:val="1"/>
      <w:numFmt w:val="bullet"/>
      <w:lvlText w:val="•"/>
      <w:lvlJc w:val="left"/>
      <w:pPr>
        <w:tabs>
          <w:tab w:val="num" w:pos="5040"/>
        </w:tabs>
        <w:ind w:left="5040" w:hanging="360"/>
      </w:pPr>
      <w:rPr>
        <w:rFonts w:ascii="Arial" w:hAnsi="Arial" w:hint="default"/>
      </w:rPr>
    </w:lvl>
    <w:lvl w:ilvl="7" w:tplc="CC5A3210" w:tentative="1">
      <w:start w:val="1"/>
      <w:numFmt w:val="bullet"/>
      <w:lvlText w:val="•"/>
      <w:lvlJc w:val="left"/>
      <w:pPr>
        <w:tabs>
          <w:tab w:val="num" w:pos="5760"/>
        </w:tabs>
        <w:ind w:left="5760" w:hanging="360"/>
      </w:pPr>
      <w:rPr>
        <w:rFonts w:ascii="Arial" w:hAnsi="Arial" w:hint="default"/>
      </w:rPr>
    </w:lvl>
    <w:lvl w:ilvl="8" w:tplc="D804CA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F65999"/>
    <w:multiLevelType w:val="hybridMultilevel"/>
    <w:tmpl w:val="E3FA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94083"/>
    <w:multiLevelType w:val="multilevel"/>
    <w:tmpl w:val="442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D91762"/>
    <w:multiLevelType w:val="hybridMultilevel"/>
    <w:tmpl w:val="914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4F"/>
    <w:rsid w:val="0000580C"/>
    <w:rsid w:val="000077E4"/>
    <w:rsid w:val="00080EAA"/>
    <w:rsid w:val="000C4296"/>
    <w:rsid w:val="000E20FE"/>
    <w:rsid w:val="000F319A"/>
    <w:rsid w:val="00130906"/>
    <w:rsid w:val="00135306"/>
    <w:rsid w:val="0020221C"/>
    <w:rsid w:val="002D2CBB"/>
    <w:rsid w:val="002D2F9F"/>
    <w:rsid w:val="003E1744"/>
    <w:rsid w:val="00416E4F"/>
    <w:rsid w:val="004739B2"/>
    <w:rsid w:val="004B3AF9"/>
    <w:rsid w:val="00507FCE"/>
    <w:rsid w:val="00544A5C"/>
    <w:rsid w:val="00546EA3"/>
    <w:rsid w:val="0058458B"/>
    <w:rsid w:val="005E125A"/>
    <w:rsid w:val="005E3ACE"/>
    <w:rsid w:val="006B37BD"/>
    <w:rsid w:val="006D03A9"/>
    <w:rsid w:val="006E7561"/>
    <w:rsid w:val="007206C8"/>
    <w:rsid w:val="00721D30"/>
    <w:rsid w:val="007621A9"/>
    <w:rsid w:val="007A561E"/>
    <w:rsid w:val="007B659F"/>
    <w:rsid w:val="007D1ADC"/>
    <w:rsid w:val="007E0F75"/>
    <w:rsid w:val="007F6302"/>
    <w:rsid w:val="0083325D"/>
    <w:rsid w:val="008C42B0"/>
    <w:rsid w:val="008C6EBF"/>
    <w:rsid w:val="008D4BA6"/>
    <w:rsid w:val="008F7383"/>
    <w:rsid w:val="00925A46"/>
    <w:rsid w:val="00946C1B"/>
    <w:rsid w:val="009664B6"/>
    <w:rsid w:val="0099100F"/>
    <w:rsid w:val="009B0F05"/>
    <w:rsid w:val="009E1D15"/>
    <w:rsid w:val="00B14633"/>
    <w:rsid w:val="00C56620"/>
    <w:rsid w:val="00CC250F"/>
    <w:rsid w:val="00CC6A3B"/>
    <w:rsid w:val="00D771A6"/>
    <w:rsid w:val="00DD5004"/>
    <w:rsid w:val="00DE3841"/>
    <w:rsid w:val="00E26095"/>
    <w:rsid w:val="00E4348B"/>
    <w:rsid w:val="00E507BD"/>
    <w:rsid w:val="00E54ECF"/>
    <w:rsid w:val="00E76DFC"/>
    <w:rsid w:val="00EB3D47"/>
    <w:rsid w:val="00EE15BC"/>
    <w:rsid w:val="00EF4537"/>
    <w:rsid w:val="00F6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FB22"/>
  <w14:defaultImageDpi w14:val="32767"/>
  <w15:chartTrackingRefBased/>
  <w15:docId w15:val="{F83CD689-9BB6-C446-9DE2-FA020E98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A56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C1B"/>
    <w:rPr>
      <w:color w:val="0563C1" w:themeColor="hyperlink"/>
      <w:u w:val="single"/>
    </w:rPr>
  </w:style>
  <w:style w:type="character" w:styleId="UnresolvedMention">
    <w:name w:val="Unresolved Mention"/>
    <w:basedOn w:val="DefaultParagraphFont"/>
    <w:uiPriority w:val="99"/>
    <w:rsid w:val="00946C1B"/>
    <w:rPr>
      <w:color w:val="605E5C"/>
      <w:shd w:val="clear" w:color="auto" w:fill="E1DFDD"/>
    </w:rPr>
  </w:style>
  <w:style w:type="character" w:styleId="FollowedHyperlink">
    <w:name w:val="FollowedHyperlink"/>
    <w:basedOn w:val="DefaultParagraphFont"/>
    <w:uiPriority w:val="99"/>
    <w:semiHidden/>
    <w:unhideWhenUsed/>
    <w:rsid w:val="00D771A6"/>
    <w:rPr>
      <w:color w:val="954F72" w:themeColor="followedHyperlink"/>
      <w:u w:val="single"/>
    </w:rPr>
  </w:style>
  <w:style w:type="paragraph" w:styleId="ListParagraph">
    <w:name w:val="List Paragraph"/>
    <w:basedOn w:val="Normal"/>
    <w:uiPriority w:val="34"/>
    <w:qFormat/>
    <w:rsid w:val="007621A9"/>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6D03A9"/>
  </w:style>
  <w:style w:type="character" w:styleId="CommentReference">
    <w:name w:val="annotation reference"/>
    <w:basedOn w:val="DefaultParagraphFont"/>
    <w:uiPriority w:val="99"/>
    <w:semiHidden/>
    <w:unhideWhenUsed/>
    <w:rsid w:val="009664B6"/>
    <w:rPr>
      <w:sz w:val="16"/>
      <w:szCs w:val="16"/>
    </w:rPr>
  </w:style>
  <w:style w:type="paragraph" w:styleId="CommentText">
    <w:name w:val="annotation text"/>
    <w:basedOn w:val="Normal"/>
    <w:link w:val="CommentTextChar"/>
    <w:uiPriority w:val="99"/>
    <w:semiHidden/>
    <w:unhideWhenUsed/>
    <w:rsid w:val="009664B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64B6"/>
    <w:rPr>
      <w:sz w:val="20"/>
      <w:szCs w:val="20"/>
    </w:rPr>
  </w:style>
  <w:style w:type="paragraph" w:styleId="CommentSubject">
    <w:name w:val="annotation subject"/>
    <w:basedOn w:val="CommentText"/>
    <w:next w:val="CommentText"/>
    <w:link w:val="CommentSubjectChar"/>
    <w:uiPriority w:val="99"/>
    <w:semiHidden/>
    <w:unhideWhenUsed/>
    <w:rsid w:val="009664B6"/>
    <w:rPr>
      <w:b/>
      <w:bCs/>
    </w:rPr>
  </w:style>
  <w:style w:type="character" w:customStyle="1" w:styleId="CommentSubjectChar">
    <w:name w:val="Comment Subject Char"/>
    <w:basedOn w:val="CommentTextChar"/>
    <w:link w:val="CommentSubject"/>
    <w:uiPriority w:val="99"/>
    <w:semiHidden/>
    <w:rsid w:val="009664B6"/>
    <w:rPr>
      <w:b/>
      <w:bCs/>
      <w:sz w:val="20"/>
      <w:szCs w:val="20"/>
    </w:rPr>
  </w:style>
  <w:style w:type="paragraph" w:styleId="BalloonText">
    <w:name w:val="Balloon Text"/>
    <w:basedOn w:val="Normal"/>
    <w:link w:val="BalloonTextChar"/>
    <w:uiPriority w:val="99"/>
    <w:semiHidden/>
    <w:unhideWhenUsed/>
    <w:rsid w:val="009664B6"/>
    <w:rPr>
      <w:rFonts w:eastAsiaTheme="minorHAnsi"/>
      <w:sz w:val="18"/>
      <w:szCs w:val="18"/>
    </w:rPr>
  </w:style>
  <w:style w:type="character" w:customStyle="1" w:styleId="BalloonTextChar">
    <w:name w:val="Balloon Text Char"/>
    <w:basedOn w:val="DefaultParagraphFont"/>
    <w:link w:val="BalloonText"/>
    <w:uiPriority w:val="99"/>
    <w:semiHidden/>
    <w:rsid w:val="009664B6"/>
    <w:rPr>
      <w:rFonts w:ascii="Times New Roman" w:hAnsi="Times New Roman" w:cs="Times New Roman"/>
      <w:sz w:val="18"/>
      <w:szCs w:val="18"/>
    </w:rPr>
  </w:style>
  <w:style w:type="table" w:styleId="TableGrid">
    <w:name w:val="Table Grid"/>
    <w:basedOn w:val="TableNormal"/>
    <w:uiPriority w:val="39"/>
    <w:rsid w:val="0013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30">
      <w:bodyDiv w:val="1"/>
      <w:marLeft w:val="0"/>
      <w:marRight w:val="0"/>
      <w:marTop w:val="0"/>
      <w:marBottom w:val="0"/>
      <w:divBdr>
        <w:top w:val="none" w:sz="0" w:space="0" w:color="auto"/>
        <w:left w:val="none" w:sz="0" w:space="0" w:color="auto"/>
        <w:bottom w:val="none" w:sz="0" w:space="0" w:color="auto"/>
        <w:right w:val="none" w:sz="0" w:space="0" w:color="auto"/>
      </w:divBdr>
    </w:div>
    <w:div w:id="25062029">
      <w:bodyDiv w:val="1"/>
      <w:marLeft w:val="0"/>
      <w:marRight w:val="0"/>
      <w:marTop w:val="0"/>
      <w:marBottom w:val="0"/>
      <w:divBdr>
        <w:top w:val="none" w:sz="0" w:space="0" w:color="auto"/>
        <w:left w:val="none" w:sz="0" w:space="0" w:color="auto"/>
        <w:bottom w:val="none" w:sz="0" w:space="0" w:color="auto"/>
        <w:right w:val="none" w:sz="0" w:space="0" w:color="auto"/>
      </w:divBdr>
    </w:div>
    <w:div w:id="205532951">
      <w:bodyDiv w:val="1"/>
      <w:marLeft w:val="0"/>
      <w:marRight w:val="0"/>
      <w:marTop w:val="0"/>
      <w:marBottom w:val="0"/>
      <w:divBdr>
        <w:top w:val="none" w:sz="0" w:space="0" w:color="auto"/>
        <w:left w:val="none" w:sz="0" w:space="0" w:color="auto"/>
        <w:bottom w:val="none" w:sz="0" w:space="0" w:color="auto"/>
        <w:right w:val="none" w:sz="0" w:space="0" w:color="auto"/>
      </w:divBdr>
      <w:divsChild>
        <w:div w:id="504125053">
          <w:marLeft w:val="547"/>
          <w:marRight w:val="0"/>
          <w:marTop w:val="130"/>
          <w:marBottom w:val="0"/>
          <w:divBdr>
            <w:top w:val="none" w:sz="0" w:space="0" w:color="auto"/>
            <w:left w:val="none" w:sz="0" w:space="0" w:color="auto"/>
            <w:bottom w:val="none" w:sz="0" w:space="0" w:color="auto"/>
            <w:right w:val="none" w:sz="0" w:space="0" w:color="auto"/>
          </w:divBdr>
        </w:div>
        <w:div w:id="678196639">
          <w:marLeft w:val="547"/>
          <w:marRight w:val="0"/>
          <w:marTop w:val="130"/>
          <w:marBottom w:val="0"/>
          <w:divBdr>
            <w:top w:val="none" w:sz="0" w:space="0" w:color="auto"/>
            <w:left w:val="none" w:sz="0" w:space="0" w:color="auto"/>
            <w:bottom w:val="none" w:sz="0" w:space="0" w:color="auto"/>
            <w:right w:val="none" w:sz="0" w:space="0" w:color="auto"/>
          </w:divBdr>
        </w:div>
      </w:divsChild>
    </w:div>
    <w:div w:id="271016063">
      <w:bodyDiv w:val="1"/>
      <w:marLeft w:val="0"/>
      <w:marRight w:val="0"/>
      <w:marTop w:val="0"/>
      <w:marBottom w:val="0"/>
      <w:divBdr>
        <w:top w:val="none" w:sz="0" w:space="0" w:color="auto"/>
        <w:left w:val="none" w:sz="0" w:space="0" w:color="auto"/>
        <w:bottom w:val="none" w:sz="0" w:space="0" w:color="auto"/>
        <w:right w:val="none" w:sz="0" w:space="0" w:color="auto"/>
      </w:divBdr>
    </w:div>
    <w:div w:id="271597349">
      <w:bodyDiv w:val="1"/>
      <w:marLeft w:val="0"/>
      <w:marRight w:val="0"/>
      <w:marTop w:val="0"/>
      <w:marBottom w:val="0"/>
      <w:divBdr>
        <w:top w:val="none" w:sz="0" w:space="0" w:color="auto"/>
        <w:left w:val="none" w:sz="0" w:space="0" w:color="auto"/>
        <w:bottom w:val="none" w:sz="0" w:space="0" w:color="auto"/>
        <w:right w:val="none" w:sz="0" w:space="0" w:color="auto"/>
      </w:divBdr>
    </w:div>
    <w:div w:id="370308799">
      <w:bodyDiv w:val="1"/>
      <w:marLeft w:val="0"/>
      <w:marRight w:val="0"/>
      <w:marTop w:val="0"/>
      <w:marBottom w:val="0"/>
      <w:divBdr>
        <w:top w:val="none" w:sz="0" w:space="0" w:color="auto"/>
        <w:left w:val="none" w:sz="0" w:space="0" w:color="auto"/>
        <w:bottom w:val="none" w:sz="0" w:space="0" w:color="auto"/>
        <w:right w:val="none" w:sz="0" w:space="0" w:color="auto"/>
      </w:divBdr>
    </w:div>
    <w:div w:id="426969171">
      <w:bodyDiv w:val="1"/>
      <w:marLeft w:val="0"/>
      <w:marRight w:val="0"/>
      <w:marTop w:val="0"/>
      <w:marBottom w:val="0"/>
      <w:divBdr>
        <w:top w:val="none" w:sz="0" w:space="0" w:color="auto"/>
        <w:left w:val="none" w:sz="0" w:space="0" w:color="auto"/>
        <w:bottom w:val="none" w:sz="0" w:space="0" w:color="auto"/>
        <w:right w:val="none" w:sz="0" w:space="0" w:color="auto"/>
      </w:divBdr>
    </w:div>
    <w:div w:id="503713175">
      <w:bodyDiv w:val="1"/>
      <w:marLeft w:val="0"/>
      <w:marRight w:val="0"/>
      <w:marTop w:val="0"/>
      <w:marBottom w:val="0"/>
      <w:divBdr>
        <w:top w:val="none" w:sz="0" w:space="0" w:color="auto"/>
        <w:left w:val="none" w:sz="0" w:space="0" w:color="auto"/>
        <w:bottom w:val="none" w:sz="0" w:space="0" w:color="auto"/>
        <w:right w:val="none" w:sz="0" w:space="0" w:color="auto"/>
      </w:divBdr>
    </w:div>
    <w:div w:id="506797319">
      <w:bodyDiv w:val="1"/>
      <w:marLeft w:val="0"/>
      <w:marRight w:val="0"/>
      <w:marTop w:val="0"/>
      <w:marBottom w:val="0"/>
      <w:divBdr>
        <w:top w:val="none" w:sz="0" w:space="0" w:color="auto"/>
        <w:left w:val="none" w:sz="0" w:space="0" w:color="auto"/>
        <w:bottom w:val="none" w:sz="0" w:space="0" w:color="auto"/>
        <w:right w:val="none" w:sz="0" w:space="0" w:color="auto"/>
      </w:divBdr>
    </w:div>
    <w:div w:id="556208310">
      <w:bodyDiv w:val="1"/>
      <w:marLeft w:val="0"/>
      <w:marRight w:val="0"/>
      <w:marTop w:val="0"/>
      <w:marBottom w:val="0"/>
      <w:divBdr>
        <w:top w:val="none" w:sz="0" w:space="0" w:color="auto"/>
        <w:left w:val="none" w:sz="0" w:space="0" w:color="auto"/>
        <w:bottom w:val="none" w:sz="0" w:space="0" w:color="auto"/>
        <w:right w:val="none" w:sz="0" w:space="0" w:color="auto"/>
      </w:divBdr>
    </w:div>
    <w:div w:id="609240879">
      <w:bodyDiv w:val="1"/>
      <w:marLeft w:val="0"/>
      <w:marRight w:val="0"/>
      <w:marTop w:val="0"/>
      <w:marBottom w:val="0"/>
      <w:divBdr>
        <w:top w:val="none" w:sz="0" w:space="0" w:color="auto"/>
        <w:left w:val="none" w:sz="0" w:space="0" w:color="auto"/>
        <w:bottom w:val="none" w:sz="0" w:space="0" w:color="auto"/>
        <w:right w:val="none" w:sz="0" w:space="0" w:color="auto"/>
      </w:divBdr>
    </w:div>
    <w:div w:id="663554706">
      <w:bodyDiv w:val="1"/>
      <w:marLeft w:val="0"/>
      <w:marRight w:val="0"/>
      <w:marTop w:val="0"/>
      <w:marBottom w:val="0"/>
      <w:divBdr>
        <w:top w:val="none" w:sz="0" w:space="0" w:color="auto"/>
        <w:left w:val="none" w:sz="0" w:space="0" w:color="auto"/>
        <w:bottom w:val="none" w:sz="0" w:space="0" w:color="auto"/>
        <w:right w:val="none" w:sz="0" w:space="0" w:color="auto"/>
      </w:divBdr>
    </w:div>
    <w:div w:id="675692711">
      <w:bodyDiv w:val="1"/>
      <w:marLeft w:val="0"/>
      <w:marRight w:val="0"/>
      <w:marTop w:val="0"/>
      <w:marBottom w:val="0"/>
      <w:divBdr>
        <w:top w:val="none" w:sz="0" w:space="0" w:color="auto"/>
        <w:left w:val="none" w:sz="0" w:space="0" w:color="auto"/>
        <w:bottom w:val="none" w:sz="0" w:space="0" w:color="auto"/>
        <w:right w:val="none" w:sz="0" w:space="0" w:color="auto"/>
      </w:divBdr>
    </w:div>
    <w:div w:id="740098539">
      <w:bodyDiv w:val="1"/>
      <w:marLeft w:val="0"/>
      <w:marRight w:val="0"/>
      <w:marTop w:val="0"/>
      <w:marBottom w:val="0"/>
      <w:divBdr>
        <w:top w:val="none" w:sz="0" w:space="0" w:color="auto"/>
        <w:left w:val="none" w:sz="0" w:space="0" w:color="auto"/>
        <w:bottom w:val="none" w:sz="0" w:space="0" w:color="auto"/>
        <w:right w:val="none" w:sz="0" w:space="0" w:color="auto"/>
      </w:divBdr>
    </w:div>
    <w:div w:id="764809843">
      <w:bodyDiv w:val="1"/>
      <w:marLeft w:val="0"/>
      <w:marRight w:val="0"/>
      <w:marTop w:val="0"/>
      <w:marBottom w:val="0"/>
      <w:divBdr>
        <w:top w:val="none" w:sz="0" w:space="0" w:color="auto"/>
        <w:left w:val="none" w:sz="0" w:space="0" w:color="auto"/>
        <w:bottom w:val="none" w:sz="0" w:space="0" w:color="auto"/>
        <w:right w:val="none" w:sz="0" w:space="0" w:color="auto"/>
      </w:divBdr>
    </w:div>
    <w:div w:id="822816649">
      <w:bodyDiv w:val="1"/>
      <w:marLeft w:val="0"/>
      <w:marRight w:val="0"/>
      <w:marTop w:val="0"/>
      <w:marBottom w:val="0"/>
      <w:divBdr>
        <w:top w:val="none" w:sz="0" w:space="0" w:color="auto"/>
        <w:left w:val="none" w:sz="0" w:space="0" w:color="auto"/>
        <w:bottom w:val="none" w:sz="0" w:space="0" w:color="auto"/>
        <w:right w:val="none" w:sz="0" w:space="0" w:color="auto"/>
      </w:divBdr>
    </w:div>
    <w:div w:id="932128634">
      <w:bodyDiv w:val="1"/>
      <w:marLeft w:val="0"/>
      <w:marRight w:val="0"/>
      <w:marTop w:val="0"/>
      <w:marBottom w:val="0"/>
      <w:divBdr>
        <w:top w:val="none" w:sz="0" w:space="0" w:color="auto"/>
        <w:left w:val="none" w:sz="0" w:space="0" w:color="auto"/>
        <w:bottom w:val="none" w:sz="0" w:space="0" w:color="auto"/>
        <w:right w:val="none" w:sz="0" w:space="0" w:color="auto"/>
      </w:divBdr>
    </w:div>
    <w:div w:id="941306808">
      <w:bodyDiv w:val="1"/>
      <w:marLeft w:val="0"/>
      <w:marRight w:val="0"/>
      <w:marTop w:val="0"/>
      <w:marBottom w:val="0"/>
      <w:divBdr>
        <w:top w:val="none" w:sz="0" w:space="0" w:color="auto"/>
        <w:left w:val="none" w:sz="0" w:space="0" w:color="auto"/>
        <w:bottom w:val="none" w:sz="0" w:space="0" w:color="auto"/>
        <w:right w:val="none" w:sz="0" w:space="0" w:color="auto"/>
      </w:divBdr>
    </w:div>
    <w:div w:id="954556343">
      <w:bodyDiv w:val="1"/>
      <w:marLeft w:val="0"/>
      <w:marRight w:val="0"/>
      <w:marTop w:val="0"/>
      <w:marBottom w:val="0"/>
      <w:divBdr>
        <w:top w:val="none" w:sz="0" w:space="0" w:color="auto"/>
        <w:left w:val="none" w:sz="0" w:space="0" w:color="auto"/>
        <w:bottom w:val="none" w:sz="0" w:space="0" w:color="auto"/>
        <w:right w:val="none" w:sz="0" w:space="0" w:color="auto"/>
      </w:divBdr>
    </w:div>
    <w:div w:id="963003845">
      <w:bodyDiv w:val="1"/>
      <w:marLeft w:val="0"/>
      <w:marRight w:val="0"/>
      <w:marTop w:val="0"/>
      <w:marBottom w:val="0"/>
      <w:divBdr>
        <w:top w:val="none" w:sz="0" w:space="0" w:color="auto"/>
        <w:left w:val="none" w:sz="0" w:space="0" w:color="auto"/>
        <w:bottom w:val="none" w:sz="0" w:space="0" w:color="auto"/>
        <w:right w:val="none" w:sz="0" w:space="0" w:color="auto"/>
      </w:divBdr>
    </w:div>
    <w:div w:id="1274822765">
      <w:bodyDiv w:val="1"/>
      <w:marLeft w:val="0"/>
      <w:marRight w:val="0"/>
      <w:marTop w:val="0"/>
      <w:marBottom w:val="0"/>
      <w:divBdr>
        <w:top w:val="none" w:sz="0" w:space="0" w:color="auto"/>
        <w:left w:val="none" w:sz="0" w:space="0" w:color="auto"/>
        <w:bottom w:val="none" w:sz="0" w:space="0" w:color="auto"/>
        <w:right w:val="none" w:sz="0" w:space="0" w:color="auto"/>
      </w:divBdr>
    </w:div>
    <w:div w:id="1351297751">
      <w:bodyDiv w:val="1"/>
      <w:marLeft w:val="0"/>
      <w:marRight w:val="0"/>
      <w:marTop w:val="0"/>
      <w:marBottom w:val="0"/>
      <w:divBdr>
        <w:top w:val="none" w:sz="0" w:space="0" w:color="auto"/>
        <w:left w:val="none" w:sz="0" w:space="0" w:color="auto"/>
        <w:bottom w:val="none" w:sz="0" w:space="0" w:color="auto"/>
        <w:right w:val="none" w:sz="0" w:space="0" w:color="auto"/>
      </w:divBdr>
    </w:div>
    <w:div w:id="1484811627">
      <w:bodyDiv w:val="1"/>
      <w:marLeft w:val="0"/>
      <w:marRight w:val="0"/>
      <w:marTop w:val="0"/>
      <w:marBottom w:val="0"/>
      <w:divBdr>
        <w:top w:val="none" w:sz="0" w:space="0" w:color="auto"/>
        <w:left w:val="none" w:sz="0" w:space="0" w:color="auto"/>
        <w:bottom w:val="none" w:sz="0" w:space="0" w:color="auto"/>
        <w:right w:val="none" w:sz="0" w:space="0" w:color="auto"/>
      </w:divBdr>
      <w:divsChild>
        <w:div w:id="57363396">
          <w:marLeft w:val="547"/>
          <w:marRight w:val="0"/>
          <w:marTop w:val="144"/>
          <w:marBottom w:val="0"/>
          <w:divBdr>
            <w:top w:val="none" w:sz="0" w:space="0" w:color="auto"/>
            <w:left w:val="none" w:sz="0" w:space="0" w:color="auto"/>
            <w:bottom w:val="none" w:sz="0" w:space="0" w:color="auto"/>
            <w:right w:val="none" w:sz="0" w:space="0" w:color="auto"/>
          </w:divBdr>
        </w:div>
        <w:div w:id="947808944">
          <w:marLeft w:val="547"/>
          <w:marRight w:val="0"/>
          <w:marTop w:val="144"/>
          <w:marBottom w:val="0"/>
          <w:divBdr>
            <w:top w:val="none" w:sz="0" w:space="0" w:color="auto"/>
            <w:left w:val="none" w:sz="0" w:space="0" w:color="auto"/>
            <w:bottom w:val="none" w:sz="0" w:space="0" w:color="auto"/>
            <w:right w:val="none" w:sz="0" w:space="0" w:color="auto"/>
          </w:divBdr>
        </w:div>
        <w:div w:id="133908640">
          <w:marLeft w:val="1166"/>
          <w:marRight w:val="0"/>
          <w:marTop w:val="125"/>
          <w:marBottom w:val="0"/>
          <w:divBdr>
            <w:top w:val="none" w:sz="0" w:space="0" w:color="auto"/>
            <w:left w:val="none" w:sz="0" w:space="0" w:color="auto"/>
            <w:bottom w:val="none" w:sz="0" w:space="0" w:color="auto"/>
            <w:right w:val="none" w:sz="0" w:space="0" w:color="auto"/>
          </w:divBdr>
        </w:div>
        <w:div w:id="415328265">
          <w:marLeft w:val="1166"/>
          <w:marRight w:val="0"/>
          <w:marTop w:val="125"/>
          <w:marBottom w:val="0"/>
          <w:divBdr>
            <w:top w:val="none" w:sz="0" w:space="0" w:color="auto"/>
            <w:left w:val="none" w:sz="0" w:space="0" w:color="auto"/>
            <w:bottom w:val="none" w:sz="0" w:space="0" w:color="auto"/>
            <w:right w:val="none" w:sz="0" w:space="0" w:color="auto"/>
          </w:divBdr>
        </w:div>
        <w:div w:id="1283000908">
          <w:marLeft w:val="547"/>
          <w:marRight w:val="0"/>
          <w:marTop w:val="144"/>
          <w:marBottom w:val="0"/>
          <w:divBdr>
            <w:top w:val="none" w:sz="0" w:space="0" w:color="auto"/>
            <w:left w:val="none" w:sz="0" w:space="0" w:color="auto"/>
            <w:bottom w:val="none" w:sz="0" w:space="0" w:color="auto"/>
            <w:right w:val="none" w:sz="0" w:space="0" w:color="auto"/>
          </w:divBdr>
        </w:div>
        <w:div w:id="433672974">
          <w:marLeft w:val="1166"/>
          <w:marRight w:val="0"/>
          <w:marTop w:val="125"/>
          <w:marBottom w:val="0"/>
          <w:divBdr>
            <w:top w:val="none" w:sz="0" w:space="0" w:color="auto"/>
            <w:left w:val="none" w:sz="0" w:space="0" w:color="auto"/>
            <w:bottom w:val="none" w:sz="0" w:space="0" w:color="auto"/>
            <w:right w:val="none" w:sz="0" w:space="0" w:color="auto"/>
          </w:divBdr>
        </w:div>
      </w:divsChild>
    </w:div>
    <w:div w:id="1500344606">
      <w:bodyDiv w:val="1"/>
      <w:marLeft w:val="0"/>
      <w:marRight w:val="0"/>
      <w:marTop w:val="0"/>
      <w:marBottom w:val="0"/>
      <w:divBdr>
        <w:top w:val="none" w:sz="0" w:space="0" w:color="auto"/>
        <w:left w:val="none" w:sz="0" w:space="0" w:color="auto"/>
        <w:bottom w:val="none" w:sz="0" w:space="0" w:color="auto"/>
        <w:right w:val="none" w:sz="0" w:space="0" w:color="auto"/>
      </w:divBdr>
    </w:div>
    <w:div w:id="1562208179">
      <w:bodyDiv w:val="1"/>
      <w:marLeft w:val="0"/>
      <w:marRight w:val="0"/>
      <w:marTop w:val="0"/>
      <w:marBottom w:val="0"/>
      <w:divBdr>
        <w:top w:val="none" w:sz="0" w:space="0" w:color="auto"/>
        <w:left w:val="none" w:sz="0" w:space="0" w:color="auto"/>
        <w:bottom w:val="none" w:sz="0" w:space="0" w:color="auto"/>
        <w:right w:val="none" w:sz="0" w:space="0" w:color="auto"/>
      </w:divBdr>
    </w:div>
    <w:div w:id="1634168299">
      <w:bodyDiv w:val="1"/>
      <w:marLeft w:val="0"/>
      <w:marRight w:val="0"/>
      <w:marTop w:val="0"/>
      <w:marBottom w:val="0"/>
      <w:divBdr>
        <w:top w:val="none" w:sz="0" w:space="0" w:color="auto"/>
        <w:left w:val="none" w:sz="0" w:space="0" w:color="auto"/>
        <w:bottom w:val="none" w:sz="0" w:space="0" w:color="auto"/>
        <w:right w:val="none" w:sz="0" w:space="0" w:color="auto"/>
      </w:divBdr>
    </w:div>
    <w:div w:id="1748305806">
      <w:bodyDiv w:val="1"/>
      <w:marLeft w:val="0"/>
      <w:marRight w:val="0"/>
      <w:marTop w:val="0"/>
      <w:marBottom w:val="0"/>
      <w:divBdr>
        <w:top w:val="none" w:sz="0" w:space="0" w:color="auto"/>
        <w:left w:val="none" w:sz="0" w:space="0" w:color="auto"/>
        <w:bottom w:val="none" w:sz="0" w:space="0" w:color="auto"/>
        <w:right w:val="none" w:sz="0" w:space="0" w:color="auto"/>
      </w:divBdr>
    </w:div>
    <w:div w:id="1758942692">
      <w:bodyDiv w:val="1"/>
      <w:marLeft w:val="0"/>
      <w:marRight w:val="0"/>
      <w:marTop w:val="0"/>
      <w:marBottom w:val="0"/>
      <w:divBdr>
        <w:top w:val="none" w:sz="0" w:space="0" w:color="auto"/>
        <w:left w:val="none" w:sz="0" w:space="0" w:color="auto"/>
        <w:bottom w:val="none" w:sz="0" w:space="0" w:color="auto"/>
        <w:right w:val="none" w:sz="0" w:space="0" w:color="auto"/>
      </w:divBdr>
    </w:div>
    <w:div w:id="1776366582">
      <w:bodyDiv w:val="1"/>
      <w:marLeft w:val="0"/>
      <w:marRight w:val="0"/>
      <w:marTop w:val="0"/>
      <w:marBottom w:val="0"/>
      <w:divBdr>
        <w:top w:val="none" w:sz="0" w:space="0" w:color="auto"/>
        <w:left w:val="none" w:sz="0" w:space="0" w:color="auto"/>
        <w:bottom w:val="none" w:sz="0" w:space="0" w:color="auto"/>
        <w:right w:val="none" w:sz="0" w:space="0" w:color="auto"/>
      </w:divBdr>
    </w:div>
    <w:div w:id="1780490605">
      <w:bodyDiv w:val="1"/>
      <w:marLeft w:val="0"/>
      <w:marRight w:val="0"/>
      <w:marTop w:val="0"/>
      <w:marBottom w:val="0"/>
      <w:divBdr>
        <w:top w:val="none" w:sz="0" w:space="0" w:color="auto"/>
        <w:left w:val="none" w:sz="0" w:space="0" w:color="auto"/>
        <w:bottom w:val="none" w:sz="0" w:space="0" w:color="auto"/>
        <w:right w:val="none" w:sz="0" w:space="0" w:color="auto"/>
      </w:divBdr>
    </w:div>
    <w:div w:id="1898861835">
      <w:bodyDiv w:val="1"/>
      <w:marLeft w:val="0"/>
      <w:marRight w:val="0"/>
      <w:marTop w:val="0"/>
      <w:marBottom w:val="0"/>
      <w:divBdr>
        <w:top w:val="none" w:sz="0" w:space="0" w:color="auto"/>
        <w:left w:val="none" w:sz="0" w:space="0" w:color="auto"/>
        <w:bottom w:val="none" w:sz="0" w:space="0" w:color="auto"/>
        <w:right w:val="none" w:sz="0" w:space="0" w:color="auto"/>
      </w:divBdr>
    </w:div>
    <w:div w:id="1978997368">
      <w:bodyDiv w:val="1"/>
      <w:marLeft w:val="0"/>
      <w:marRight w:val="0"/>
      <w:marTop w:val="0"/>
      <w:marBottom w:val="0"/>
      <w:divBdr>
        <w:top w:val="none" w:sz="0" w:space="0" w:color="auto"/>
        <w:left w:val="none" w:sz="0" w:space="0" w:color="auto"/>
        <w:bottom w:val="none" w:sz="0" w:space="0" w:color="auto"/>
        <w:right w:val="none" w:sz="0" w:space="0" w:color="auto"/>
      </w:divBdr>
    </w:div>
    <w:div w:id="2016179057">
      <w:bodyDiv w:val="1"/>
      <w:marLeft w:val="0"/>
      <w:marRight w:val="0"/>
      <w:marTop w:val="0"/>
      <w:marBottom w:val="0"/>
      <w:divBdr>
        <w:top w:val="none" w:sz="0" w:space="0" w:color="auto"/>
        <w:left w:val="none" w:sz="0" w:space="0" w:color="auto"/>
        <w:bottom w:val="none" w:sz="0" w:space="0" w:color="auto"/>
        <w:right w:val="none" w:sz="0" w:space="0" w:color="auto"/>
      </w:divBdr>
    </w:div>
    <w:div w:id="2059235314">
      <w:bodyDiv w:val="1"/>
      <w:marLeft w:val="0"/>
      <w:marRight w:val="0"/>
      <w:marTop w:val="0"/>
      <w:marBottom w:val="0"/>
      <w:divBdr>
        <w:top w:val="none" w:sz="0" w:space="0" w:color="auto"/>
        <w:left w:val="none" w:sz="0" w:space="0" w:color="auto"/>
        <w:bottom w:val="none" w:sz="0" w:space="0" w:color="auto"/>
        <w:right w:val="none" w:sz="0" w:space="0" w:color="auto"/>
      </w:divBdr>
    </w:div>
    <w:div w:id="21168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w1.ncuc.net/NCUC/ViewFile.aspx?Id=234c0951-fd81-4040-b19f-721334d6c0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2.ncrets.org/myModule/rpt/myrpt.asp?r=109&amp;TabName=Certificate" TargetMode="External"/><Relationship Id="rId11" Type="http://schemas.openxmlformats.org/officeDocument/2006/relationships/image" Target="media/image4.emf"/><Relationship Id="rId5" Type="http://schemas.openxmlformats.org/officeDocument/2006/relationships/hyperlink" Target="https://www.ncleg.net/enactedlegislation/statutes/html/bysection/chapter_62/gs_62-133.8.html"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Jennifer Weiss</cp:lastModifiedBy>
  <cp:revision>2</cp:revision>
  <cp:lastPrinted>2019-03-28T14:42:00Z</cp:lastPrinted>
  <dcterms:created xsi:type="dcterms:W3CDTF">2019-08-26T15:01:00Z</dcterms:created>
  <dcterms:modified xsi:type="dcterms:W3CDTF">2019-08-26T15:01:00Z</dcterms:modified>
</cp:coreProperties>
</file>